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21" w:rsidRPr="00A40689" w:rsidRDefault="00931C21" w:rsidP="00931C21">
      <w:pPr>
        <w:autoSpaceDE w:val="0"/>
        <w:autoSpaceDN w:val="0"/>
        <w:adjustRightInd w:val="0"/>
        <w:spacing w:after="0" w:line="240" w:lineRule="auto"/>
        <w:rPr>
          <w:rFonts w:ascii="Times New Roman" w:hAnsi="Times New Roman" w:cs="Times New Roman"/>
          <w:b/>
          <w:color w:val="7030A0"/>
          <w:sz w:val="26"/>
          <w:szCs w:val="26"/>
        </w:rPr>
      </w:pPr>
    </w:p>
    <w:p w:rsidR="00931C21" w:rsidRPr="00A40689" w:rsidRDefault="00931C21" w:rsidP="00931C21">
      <w:pPr>
        <w:autoSpaceDE w:val="0"/>
        <w:autoSpaceDN w:val="0"/>
        <w:adjustRightInd w:val="0"/>
        <w:spacing w:after="0" w:line="240" w:lineRule="auto"/>
        <w:jc w:val="center"/>
        <w:rPr>
          <w:rFonts w:ascii="Times New Roman" w:hAnsi="Times New Roman" w:cs="Times New Roman"/>
          <w:b/>
          <w:bCs/>
          <w:color w:val="7030A0"/>
          <w:sz w:val="26"/>
          <w:szCs w:val="26"/>
        </w:rPr>
      </w:pPr>
      <w:r w:rsidRPr="00A40689">
        <w:rPr>
          <w:rFonts w:ascii="Times New Roman" w:hAnsi="Times New Roman" w:cs="Times New Roman"/>
          <w:b/>
          <w:color w:val="7030A0"/>
          <w:sz w:val="26"/>
          <w:szCs w:val="26"/>
        </w:rPr>
        <w:t xml:space="preserve"> </w:t>
      </w:r>
      <w:r w:rsidRPr="00A40689">
        <w:rPr>
          <w:rFonts w:ascii="Times New Roman" w:hAnsi="Times New Roman" w:cs="Times New Roman"/>
          <w:b/>
          <w:bCs/>
          <w:color w:val="7030A0"/>
          <w:sz w:val="26"/>
          <w:szCs w:val="26"/>
        </w:rPr>
        <w:t xml:space="preserve">LA BIOPHYSIQUE </w:t>
      </w:r>
    </w:p>
    <w:p w:rsidR="00931C21" w:rsidRPr="00A40689" w:rsidRDefault="00931C21" w:rsidP="00931C21">
      <w:pPr>
        <w:autoSpaceDE w:val="0"/>
        <w:autoSpaceDN w:val="0"/>
        <w:adjustRightInd w:val="0"/>
        <w:spacing w:after="0" w:line="240" w:lineRule="auto"/>
        <w:jc w:val="center"/>
        <w:rPr>
          <w:rFonts w:ascii="Times New Roman" w:hAnsi="Times New Roman" w:cs="Times New Roman"/>
          <w:b/>
          <w:bCs/>
          <w:color w:val="000000"/>
          <w:sz w:val="26"/>
          <w:szCs w:val="26"/>
        </w:rPr>
      </w:pPr>
    </w:p>
    <w:p w:rsidR="00931C21" w:rsidRPr="00A40689" w:rsidRDefault="00931C21" w:rsidP="00931C21">
      <w:pPr>
        <w:autoSpaceDE w:val="0"/>
        <w:autoSpaceDN w:val="0"/>
        <w:adjustRightInd w:val="0"/>
        <w:spacing w:after="0" w:line="240" w:lineRule="auto"/>
        <w:jc w:val="center"/>
        <w:rPr>
          <w:rFonts w:ascii="Times New Roman" w:hAnsi="Times New Roman" w:cs="Times New Roman"/>
          <w:b/>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b/>
          <w:color w:val="0070C0"/>
          <w:sz w:val="26"/>
          <w:szCs w:val="26"/>
          <w:u w:val="single"/>
        </w:rPr>
      </w:pPr>
      <w:r w:rsidRPr="00A40689">
        <w:rPr>
          <w:rFonts w:ascii="Times New Roman" w:hAnsi="Times New Roman" w:cs="Times New Roman"/>
          <w:b/>
          <w:color w:val="0070C0"/>
          <w:sz w:val="26"/>
          <w:szCs w:val="26"/>
          <w:u w:val="single"/>
        </w:rPr>
        <w:t xml:space="preserve">I : Définition de la biophysique et rappel sur la structure des protéines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Discipline qui analyse les phénomènes biologiques (biomécanique, imagerie médicale, fonction des organes, ...) et la structure des macromolécules biologiques à l'aide de théories et de techniques de la physique (voire de la chimie).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Il existe quatre niveaux de structure des protéines :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w:t>
      </w:r>
      <w:r w:rsidRPr="00A40689">
        <w:rPr>
          <w:rFonts w:ascii="Times New Roman" w:hAnsi="Times New Roman" w:cs="Times New Roman"/>
          <w:color w:val="000000"/>
          <w:sz w:val="26"/>
          <w:szCs w:val="26"/>
          <w:u w:val="single"/>
        </w:rPr>
        <w:t xml:space="preserve">la structure primaire </w:t>
      </w:r>
      <w:r w:rsidRPr="00A40689">
        <w:rPr>
          <w:rFonts w:ascii="Times New Roman" w:hAnsi="Times New Roman" w:cs="Times New Roman"/>
          <w:color w:val="000000"/>
          <w:sz w:val="26"/>
          <w:szCs w:val="26"/>
        </w:rPr>
        <w:t xml:space="preserve">: c'est la séquence en acides aminés ou enchaînement polypeptidique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w:t>
      </w:r>
      <w:r w:rsidRPr="00A40689">
        <w:rPr>
          <w:rFonts w:ascii="Times New Roman" w:hAnsi="Times New Roman" w:cs="Times New Roman"/>
          <w:color w:val="000000"/>
          <w:sz w:val="26"/>
          <w:szCs w:val="26"/>
          <w:u w:val="single"/>
        </w:rPr>
        <w:t xml:space="preserve">les structures secondaires </w:t>
      </w:r>
      <w:r w:rsidRPr="00A40689">
        <w:rPr>
          <w:rFonts w:ascii="Times New Roman" w:hAnsi="Times New Roman" w:cs="Times New Roman"/>
          <w:color w:val="000000"/>
          <w:sz w:val="26"/>
          <w:szCs w:val="26"/>
        </w:rPr>
        <w:t xml:space="preserve">: c'est l'ensemble des structures locales spécifiques qu'adoptent certaines parties d'une protéine. C'est une étape du repliement des protéines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w:t>
      </w:r>
      <w:r w:rsidRPr="00A40689">
        <w:rPr>
          <w:rFonts w:ascii="Times New Roman" w:hAnsi="Times New Roman" w:cs="Times New Roman"/>
          <w:color w:val="000000"/>
          <w:sz w:val="26"/>
          <w:szCs w:val="26"/>
          <w:u w:val="single"/>
        </w:rPr>
        <w:t xml:space="preserve">la structure tertiaire ou structure tridimensionnelle </w:t>
      </w:r>
      <w:r w:rsidRPr="00A40689">
        <w:rPr>
          <w:rFonts w:ascii="Times New Roman" w:hAnsi="Times New Roman" w:cs="Times New Roman"/>
          <w:color w:val="000000"/>
          <w:sz w:val="26"/>
          <w:szCs w:val="26"/>
        </w:rPr>
        <w:t xml:space="preserve">: parmi les innombrables structures que peut adopter une protéine, c'est la seule structure qui lui confère sa fonction biologique.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w:t>
      </w:r>
      <w:r w:rsidRPr="00A40689">
        <w:rPr>
          <w:rFonts w:ascii="Times New Roman" w:hAnsi="Times New Roman" w:cs="Times New Roman"/>
          <w:color w:val="000000"/>
          <w:sz w:val="26"/>
          <w:szCs w:val="26"/>
          <w:u w:val="single"/>
        </w:rPr>
        <w:t xml:space="preserve">la structure quaternaire </w:t>
      </w:r>
      <w:r w:rsidRPr="00A40689">
        <w:rPr>
          <w:rFonts w:ascii="Times New Roman" w:hAnsi="Times New Roman" w:cs="Times New Roman"/>
          <w:color w:val="000000"/>
          <w:sz w:val="26"/>
          <w:szCs w:val="26"/>
        </w:rPr>
        <w:t xml:space="preserve">: certaines protéines sont constituées de plusieurs chaînes polypeptidiques (appelées sous-unités) identiques ou non. La structure quaternaire est l'arrangement spatial de ces différentes sous-unités.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ind w:firstLine="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 nombre de conformations connues de protéines significativement différentes (moins de 25% d'acides aminés identiques entre deux séquences) est de 1500. La distribution observée des repliements est très hétérogène (certains sont très peuplés, d'autres beaucoup moins). On évalue à environ 10.000 le nombre total de structures protéiques originales qui suffirait à modéliser la quasi-totalité des protéines connues. </w:t>
      </w:r>
    </w:p>
    <w:p w:rsidR="00931C21" w:rsidRPr="00A40689" w:rsidRDefault="00931C21" w:rsidP="00931C21">
      <w:pPr>
        <w:autoSpaceDE w:val="0"/>
        <w:autoSpaceDN w:val="0"/>
        <w:adjustRightInd w:val="0"/>
        <w:spacing w:after="0" w:line="240" w:lineRule="auto"/>
        <w:ind w:firstLine="360"/>
        <w:rPr>
          <w:rFonts w:ascii="Times New Roman" w:hAnsi="Times New Roman" w:cs="Times New Roman"/>
          <w:color w:val="0070C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b/>
          <w:color w:val="0070C0"/>
          <w:sz w:val="26"/>
          <w:szCs w:val="26"/>
          <w:u w:val="single"/>
        </w:rPr>
      </w:pPr>
      <w:r w:rsidRPr="00A40689">
        <w:rPr>
          <w:rFonts w:ascii="Times New Roman" w:hAnsi="Times New Roman" w:cs="Times New Roman"/>
          <w:b/>
          <w:color w:val="0070C0"/>
          <w:sz w:val="26"/>
          <w:szCs w:val="26"/>
          <w:u w:val="single"/>
        </w:rPr>
        <w:t xml:space="preserve">II : La spectroscopie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u w:val="single"/>
        </w:rPr>
      </w:pPr>
      <w:r w:rsidRPr="00A40689">
        <w:rPr>
          <w:rFonts w:ascii="Times New Roman" w:hAnsi="Times New Roman" w:cs="Times New Roman"/>
          <w:color w:val="000000"/>
          <w:sz w:val="26"/>
          <w:szCs w:val="26"/>
          <w:u w:val="single"/>
        </w:rPr>
        <w:t xml:space="preserve">A : la spectroscopie ultraviolet visible - la spectroscopie infrarouge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Les méthodes spectroscopiques sont utilisées pour analyser les macromolécules parce que ce sont des techniques d'analyse non destructrices.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u w:val="single"/>
        </w:rPr>
      </w:pPr>
      <w:r w:rsidRPr="00A40689">
        <w:rPr>
          <w:rFonts w:ascii="Times New Roman" w:hAnsi="Times New Roman" w:cs="Times New Roman"/>
          <w:color w:val="000000"/>
          <w:sz w:val="26"/>
          <w:szCs w:val="26"/>
          <w:u w:val="single"/>
        </w:rPr>
        <w:t xml:space="preserve">B : La fluorescence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Une molécule fluorescente (</w:t>
      </w:r>
      <w:proofErr w:type="spellStart"/>
      <w:r w:rsidRPr="00A40689">
        <w:rPr>
          <w:rFonts w:ascii="Times New Roman" w:hAnsi="Times New Roman" w:cs="Times New Roman"/>
          <w:color w:val="000000"/>
          <w:sz w:val="26"/>
          <w:szCs w:val="26"/>
        </w:rPr>
        <w:t>fluorophore</w:t>
      </w:r>
      <w:proofErr w:type="spellEnd"/>
      <w:r w:rsidRPr="00A40689">
        <w:rPr>
          <w:rFonts w:ascii="Times New Roman" w:hAnsi="Times New Roman" w:cs="Times New Roman"/>
          <w:color w:val="000000"/>
          <w:sz w:val="26"/>
          <w:szCs w:val="26"/>
        </w:rPr>
        <w:t xml:space="preserve"> ou </w:t>
      </w:r>
      <w:proofErr w:type="spellStart"/>
      <w:r w:rsidRPr="00A40689">
        <w:rPr>
          <w:rFonts w:ascii="Times New Roman" w:hAnsi="Times New Roman" w:cs="Times New Roman"/>
          <w:color w:val="000000"/>
          <w:sz w:val="26"/>
          <w:szCs w:val="26"/>
        </w:rPr>
        <w:t>fluorochrome</w:t>
      </w:r>
      <w:proofErr w:type="spellEnd"/>
      <w:r w:rsidRPr="00A40689">
        <w:rPr>
          <w:rFonts w:ascii="Times New Roman" w:hAnsi="Times New Roman" w:cs="Times New Roman"/>
          <w:color w:val="000000"/>
          <w:sz w:val="26"/>
          <w:szCs w:val="26"/>
        </w:rPr>
        <w:t xml:space="preserve">) possède la propriété d'absorber de l'énergie lumineuse (ou lumière d'excitation) et de la restituer rapidement (&lt; 1 </w:t>
      </w:r>
      <w:proofErr w:type="spellStart"/>
      <w:r w:rsidRPr="00A40689">
        <w:rPr>
          <w:rFonts w:ascii="Times New Roman" w:hAnsi="Times New Roman" w:cs="Times New Roman"/>
          <w:color w:val="000000"/>
          <w:sz w:val="26"/>
          <w:szCs w:val="26"/>
        </w:rPr>
        <w:t>nsec</w:t>
      </w:r>
      <w:proofErr w:type="spellEnd"/>
      <w:r w:rsidRPr="00A40689">
        <w:rPr>
          <w:rFonts w:ascii="Times New Roman" w:hAnsi="Times New Roman" w:cs="Times New Roman"/>
          <w:color w:val="000000"/>
          <w:sz w:val="26"/>
          <w:szCs w:val="26"/>
        </w:rPr>
        <w:t xml:space="preserve">) sous forme de lumière fluorescente (ou lumière d'émission).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u w:val="single"/>
        </w:rPr>
        <w:t xml:space="preserve">Cependant :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roofErr w:type="gramStart"/>
      <w:r w:rsidRPr="00A40689">
        <w:rPr>
          <w:rFonts w:ascii="Times New Roman" w:hAnsi="Times New Roman" w:cs="Times New Roman"/>
          <w:color w:val="000000"/>
          <w:sz w:val="26"/>
          <w:szCs w:val="26"/>
        </w:rPr>
        <w:t>une</w:t>
      </w:r>
      <w:proofErr w:type="gramEnd"/>
      <w:r w:rsidRPr="00A40689">
        <w:rPr>
          <w:rFonts w:ascii="Times New Roman" w:hAnsi="Times New Roman" w:cs="Times New Roman"/>
          <w:color w:val="000000"/>
          <w:sz w:val="26"/>
          <w:szCs w:val="26"/>
        </w:rPr>
        <w:t xml:space="preserve"> partie de l'énergie de la lumière d'excitation est absorbée par d'autres molécules du milieu et une autre partie de l'énergie est dissipée sous forme de chaleur.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u w:val="single"/>
        </w:rPr>
        <w:t xml:space="preserve">En </w:t>
      </w:r>
      <w:proofErr w:type="gramStart"/>
      <w:r w:rsidRPr="00A40689">
        <w:rPr>
          <w:rFonts w:ascii="Times New Roman" w:hAnsi="Times New Roman" w:cs="Times New Roman"/>
          <w:color w:val="000000"/>
          <w:sz w:val="26"/>
          <w:szCs w:val="26"/>
          <w:u w:val="single"/>
        </w:rPr>
        <w:t>conséquences</w:t>
      </w:r>
      <w:proofErr w:type="gramEnd"/>
      <w:r w:rsidRPr="00A40689">
        <w:rPr>
          <w:rFonts w:ascii="Times New Roman" w:hAnsi="Times New Roman" w:cs="Times New Roman"/>
          <w:color w:val="000000"/>
          <w:sz w:val="26"/>
          <w:szCs w:val="26"/>
        </w:rPr>
        <w:t xml:space="preserve">, l'énergie de la lumière d'émission est plus faible que celle de la lumière d'excitation : la lumière d'émission (la fluorescence) a donc une longueur d'onde plus élevée.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u w:val="single"/>
        </w:rPr>
        <w:t xml:space="preserve">Remarque </w:t>
      </w:r>
      <w:r w:rsidRPr="00A40689">
        <w:rPr>
          <w:rFonts w:ascii="Times New Roman" w:hAnsi="Times New Roman" w:cs="Times New Roman"/>
          <w:color w:val="000000"/>
          <w:sz w:val="26"/>
          <w:szCs w:val="26"/>
        </w:rPr>
        <w:t xml:space="preserve">: si l'émission de la lumière cesse dès l'arrêt de l'excitation c'est la fluorescence. Si la matière continue d'émettre de la lumière après avoir été éclairée, c'est la phosphorescence. </w:t>
      </w:r>
    </w:p>
    <w:p w:rsidR="00931C21" w:rsidRPr="00A40689" w:rsidRDefault="00931C21" w:rsidP="00931C21">
      <w:pPr>
        <w:pageBreakBefore/>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u w:val="single"/>
        </w:rPr>
        <w:lastRenderedPageBreak/>
        <w:t xml:space="preserve">De nombreuses techniques se sont développées :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 marquage simple se fait par affinité entre un </w:t>
      </w:r>
      <w:proofErr w:type="spellStart"/>
      <w:r w:rsidRPr="00A40689">
        <w:rPr>
          <w:rFonts w:ascii="Times New Roman" w:hAnsi="Times New Roman" w:cs="Times New Roman"/>
          <w:color w:val="000000"/>
          <w:sz w:val="26"/>
          <w:szCs w:val="26"/>
        </w:rPr>
        <w:t>fluorochrome</w:t>
      </w:r>
      <w:proofErr w:type="spellEnd"/>
      <w:r w:rsidRPr="00A40689">
        <w:rPr>
          <w:rFonts w:ascii="Times New Roman" w:hAnsi="Times New Roman" w:cs="Times New Roman"/>
          <w:color w:val="000000"/>
          <w:sz w:val="26"/>
          <w:szCs w:val="26"/>
        </w:rPr>
        <w:t xml:space="preserve"> et la molécule à marquer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roofErr w:type="gramStart"/>
      <w:r w:rsidRPr="00A40689">
        <w:rPr>
          <w:rFonts w:ascii="Times New Roman" w:hAnsi="Times New Roman" w:cs="Times New Roman"/>
          <w:color w:val="000000"/>
          <w:sz w:val="26"/>
          <w:szCs w:val="26"/>
        </w:rPr>
        <w:t>l'</w:t>
      </w:r>
      <w:proofErr w:type="spellStart"/>
      <w:r w:rsidRPr="00A40689">
        <w:rPr>
          <w:rFonts w:ascii="Times New Roman" w:hAnsi="Times New Roman" w:cs="Times New Roman"/>
          <w:color w:val="000000"/>
          <w:sz w:val="26"/>
          <w:szCs w:val="26"/>
        </w:rPr>
        <w:t>immunomarquage</w:t>
      </w:r>
      <w:proofErr w:type="spellEnd"/>
      <w:proofErr w:type="gramEnd"/>
      <w:r w:rsidRPr="00A40689">
        <w:rPr>
          <w:rFonts w:ascii="Times New Roman" w:hAnsi="Times New Roman" w:cs="Times New Roman"/>
          <w:color w:val="000000"/>
          <w:sz w:val="26"/>
          <w:szCs w:val="26"/>
        </w:rPr>
        <w:t xml:space="preserve"> direct ou indirect qui utilise un anticorps marqué par un élément radioactif.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la technique du FISH ("Fluorescence In Situ </w:t>
      </w:r>
      <w:proofErr w:type="spellStart"/>
      <w:r w:rsidRPr="00A40689">
        <w:rPr>
          <w:rFonts w:ascii="Times New Roman" w:hAnsi="Times New Roman" w:cs="Times New Roman"/>
          <w:color w:val="000000"/>
          <w:sz w:val="26"/>
          <w:szCs w:val="26"/>
        </w:rPr>
        <w:t>Hybridization</w:t>
      </w:r>
      <w:proofErr w:type="spellEnd"/>
      <w:r w:rsidRPr="00A40689">
        <w:rPr>
          <w:rFonts w:ascii="Times New Roman" w:hAnsi="Times New Roman" w:cs="Times New Roman"/>
          <w:color w:val="000000"/>
          <w:sz w:val="26"/>
          <w:szCs w:val="26"/>
        </w:rPr>
        <w:t xml:space="preserve">") sert à marquer des séquences nucléotidiques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la technique du FRET ("Fluorescence </w:t>
      </w:r>
      <w:proofErr w:type="spellStart"/>
      <w:r w:rsidRPr="00A40689">
        <w:rPr>
          <w:rFonts w:ascii="Times New Roman" w:hAnsi="Times New Roman" w:cs="Times New Roman"/>
          <w:color w:val="000000"/>
          <w:sz w:val="26"/>
          <w:szCs w:val="26"/>
        </w:rPr>
        <w:t>Resonance</w:t>
      </w:r>
      <w:proofErr w:type="spellEnd"/>
      <w:r w:rsidRPr="00A40689">
        <w:rPr>
          <w:rFonts w:ascii="Times New Roman" w:hAnsi="Times New Roman" w:cs="Times New Roman"/>
          <w:color w:val="000000"/>
          <w:sz w:val="26"/>
          <w:szCs w:val="26"/>
        </w:rPr>
        <w:t xml:space="preserve"> </w:t>
      </w:r>
      <w:proofErr w:type="spellStart"/>
      <w:r w:rsidRPr="00A40689">
        <w:rPr>
          <w:rFonts w:ascii="Times New Roman" w:hAnsi="Times New Roman" w:cs="Times New Roman"/>
          <w:color w:val="000000"/>
          <w:sz w:val="26"/>
          <w:szCs w:val="26"/>
        </w:rPr>
        <w:t>Energy</w:t>
      </w:r>
      <w:proofErr w:type="spellEnd"/>
      <w:r w:rsidRPr="00A40689">
        <w:rPr>
          <w:rFonts w:ascii="Times New Roman" w:hAnsi="Times New Roman" w:cs="Times New Roman"/>
          <w:color w:val="000000"/>
          <w:sz w:val="26"/>
          <w:szCs w:val="26"/>
        </w:rPr>
        <w:t xml:space="preserve"> Transfer") utilise deux </w:t>
      </w:r>
      <w:proofErr w:type="spellStart"/>
      <w:r w:rsidRPr="00A40689">
        <w:rPr>
          <w:rFonts w:ascii="Times New Roman" w:hAnsi="Times New Roman" w:cs="Times New Roman"/>
          <w:color w:val="000000"/>
          <w:sz w:val="26"/>
          <w:szCs w:val="26"/>
        </w:rPr>
        <w:t>fluorochromes</w:t>
      </w:r>
      <w:proofErr w:type="spellEnd"/>
      <w:r w:rsidRPr="00A40689">
        <w:rPr>
          <w:rFonts w:ascii="Times New Roman" w:hAnsi="Times New Roman" w:cs="Times New Roman"/>
          <w:color w:val="000000"/>
          <w:sz w:val="26"/>
          <w:szCs w:val="26"/>
        </w:rPr>
        <w:t xml:space="preserve">, un donneur qui va transmettre son énergie à un autre </w:t>
      </w:r>
      <w:proofErr w:type="spellStart"/>
      <w:r w:rsidRPr="00A40689">
        <w:rPr>
          <w:rFonts w:ascii="Times New Roman" w:hAnsi="Times New Roman" w:cs="Times New Roman"/>
          <w:color w:val="000000"/>
          <w:sz w:val="26"/>
          <w:szCs w:val="26"/>
        </w:rPr>
        <w:t>fluorochrome</w:t>
      </w:r>
      <w:proofErr w:type="spellEnd"/>
      <w:r w:rsidRPr="00A40689">
        <w:rPr>
          <w:rFonts w:ascii="Times New Roman" w:hAnsi="Times New Roman" w:cs="Times New Roman"/>
          <w:color w:val="000000"/>
          <w:sz w:val="26"/>
          <w:szCs w:val="26"/>
        </w:rPr>
        <w:t xml:space="preserve"> accepteur. Elle permet d'étudier des interactions entre deux molécules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la GFP ("Green Fluorescent </w:t>
      </w:r>
      <w:proofErr w:type="spellStart"/>
      <w:r w:rsidRPr="00A40689">
        <w:rPr>
          <w:rFonts w:ascii="Times New Roman" w:hAnsi="Times New Roman" w:cs="Times New Roman"/>
          <w:color w:val="000000"/>
          <w:sz w:val="26"/>
          <w:szCs w:val="26"/>
        </w:rPr>
        <w:t>Protein</w:t>
      </w:r>
      <w:proofErr w:type="spellEnd"/>
      <w:r w:rsidRPr="00A40689">
        <w:rPr>
          <w:rFonts w:ascii="Times New Roman" w:hAnsi="Times New Roman" w:cs="Times New Roman"/>
          <w:color w:val="000000"/>
          <w:sz w:val="26"/>
          <w:szCs w:val="26"/>
        </w:rPr>
        <w:t xml:space="preserve">") consiste à intégrer dans le génome de la cellule à observer un </w:t>
      </w:r>
      <w:proofErr w:type="spellStart"/>
      <w:r w:rsidRPr="00A40689">
        <w:rPr>
          <w:rFonts w:ascii="Times New Roman" w:hAnsi="Times New Roman" w:cs="Times New Roman"/>
          <w:color w:val="000000"/>
          <w:sz w:val="26"/>
          <w:szCs w:val="26"/>
        </w:rPr>
        <w:t>géne</w:t>
      </w:r>
      <w:proofErr w:type="spellEnd"/>
      <w:r w:rsidRPr="00A40689">
        <w:rPr>
          <w:rFonts w:ascii="Times New Roman" w:hAnsi="Times New Roman" w:cs="Times New Roman"/>
          <w:color w:val="000000"/>
          <w:sz w:val="26"/>
          <w:szCs w:val="26"/>
        </w:rPr>
        <w:t xml:space="preserve"> de protéine fluorescente, la protéine synthétisée est alors fluorescente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roofErr w:type="gramStart"/>
      <w:r w:rsidRPr="00A40689">
        <w:rPr>
          <w:rFonts w:ascii="Times New Roman" w:hAnsi="Times New Roman" w:cs="Times New Roman"/>
          <w:color w:val="000000"/>
          <w:sz w:val="26"/>
          <w:szCs w:val="26"/>
          <w:u w:val="single"/>
        </w:rPr>
        <w:t>c</w:t>
      </w:r>
      <w:proofErr w:type="gramEnd"/>
      <w:r w:rsidRPr="00A40689">
        <w:rPr>
          <w:rFonts w:ascii="Times New Roman" w:hAnsi="Times New Roman" w:cs="Times New Roman"/>
          <w:color w:val="000000"/>
          <w:sz w:val="26"/>
          <w:szCs w:val="26"/>
          <w:u w:val="single"/>
        </w:rPr>
        <w:t xml:space="preserve"> : Le dichroïsme circulaire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 dichroïsme circulaire s'appuie sur la capacité des molécules qui ont une activité optique d'absorber différemment la lumière polarisée circulairement à droite et la lumière polarisée circulairement à gauche. L'activité optique est la propriété que possède une structure chirale d'interagir avec un rayonnement électromagnétique. Elle est à l'origine de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du dichroïsme circulaire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du pouvoir rotatoire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de la dispersion optique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de la polarisation circulaire d'émission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 dichroïsme circulaire est une technique qui permet d'analyser le contenu en structures secondaires des protéines ou des acides nucléiques. Pour déterminer la proportion de chaque type de structure secondaire, il faut effectuer une </w:t>
      </w:r>
      <w:proofErr w:type="spellStart"/>
      <w:r w:rsidRPr="00A40689">
        <w:rPr>
          <w:rFonts w:ascii="Times New Roman" w:hAnsi="Times New Roman" w:cs="Times New Roman"/>
          <w:color w:val="000000"/>
          <w:sz w:val="26"/>
          <w:szCs w:val="26"/>
        </w:rPr>
        <w:t>déconvolution</w:t>
      </w:r>
      <w:proofErr w:type="spellEnd"/>
      <w:r w:rsidRPr="00A40689">
        <w:rPr>
          <w:rFonts w:ascii="Times New Roman" w:hAnsi="Times New Roman" w:cs="Times New Roman"/>
          <w:color w:val="000000"/>
          <w:sz w:val="26"/>
          <w:szCs w:val="26"/>
        </w:rPr>
        <w:t xml:space="preserve"> en composantes élémentaires du spectre de dichroïsme avec des logiciels appropriés.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Cette une technique non destructive qui permet d'étudier les changements de conformation des protéines dans différents environnements (pH, agents dénaturants, température).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b/>
          <w:color w:val="0070C0"/>
          <w:sz w:val="26"/>
          <w:szCs w:val="26"/>
          <w:u w:val="single"/>
        </w:rPr>
      </w:pPr>
      <w:r w:rsidRPr="00A40689">
        <w:rPr>
          <w:rFonts w:ascii="Times New Roman" w:hAnsi="Times New Roman" w:cs="Times New Roman"/>
          <w:b/>
          <w:color w:val="0070C0"/>
          <w:sz w:val="26"/>
          <w:szCs w:val="26"/>
          <w:u w:val="single"/>
        </w:rPr>
        <w:t xml:space="preserve">IV : La résonance magnétique nucléaire (RMN)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Son caractère non destructif a conduit à divers développements de cette méthode qui est employée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en chimie organique pour des analyses structurales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en génomique structurale pour obtenir une image tridimensionnelle des molécules du vivant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en médecine pour étudier le corps humain (image à résonance magnétique nucléaire - IRM)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b/>
          <w:color w:val="0070C0"/>
          <w:sz w:val="26"/>
          <w:szCs w:val="26"/>
          <w:u w:val="single"/>
        </w:rPr>
      </w:pPr>
      <w:r w:rsidRPr="00A40689">
        <w:rPr>
          <w:rFonts w:ascii="Times New Roman" w:hAnsi="Times New Roman" w:cs="Times New Roman"/>
          <w:b/>
          <w:color w:val="0070C0"/>
          <w:sz w:val="26"/>
          <w:szCs w:val="26"/>
          <w:u w:val="single"/>
        </w:rPr>
        <w:t xml:space="preserve">Va : La cristallographie ou diffraction des rayons X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La cristallographie est la science qui se consacre à l'étude des substances cristallines à l'échelle atomique. L'état cristallin est défini par un caractère périodique et ordonné à l'échelle atomique ou moléculaire. Ce caractère périodique est appelé la maille élémentaire.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La </w:t>
      </w:r>
      <w:proofErr w:type="spellStart"/>
      <w:r w:rsidRPr="00A40689">
        <w:rPr>
          <w:rFonts w:ascii="Times New Roman" w:hAnsi="Times New Roman" w:cs="Times New Roman"/>
          <w:color w:val="000000"/>
          <w:sz w:val="26"/>
          <w:szCs w:val="26"/>
        </w:rPr>
        <w:t>cristallogénèse</w:t>
      </w:r>
      <w:proofErr w:type="spellEnd"/>
      <w:r w:rsidRPr="00A40689">
        <w:rPr>
          <w:rFonts w:ascii="Times New Roman" w:hAnsi="Times New Roman" w:cs="Times New Roman"/>
          <w:color w:val="000000"/>
          <w:sz w:val="26"/>
          <w:szCs w:val="26"/>
        </w:rPr>
        <w:t xml:space="preserve"> est la formation d'un cristal, soit en milieu naturel, soit de façon expérimentale. C'est le passage d'un état désordonné liquide à un état ordonné solide, contrôlé par la température, la pression, le te</w:t>
      </w:r>
      <w:bookmarkStart w:id="0" w:name="_GoBack"/>
      <w:bookmarkEnd w:id="0"/>
      <w:r w:rsidRPr="00A40689">
        <w:rPr>
          <w:rFonts w:ascii="Times New Roman" w:hAnsi="Times New Roman" w:cs="Times New Roman"/>
          <w:color w:val="000000"/>
          <w:sz w:val="26"/>
          <w:szCs w:val="26"/>
        </w:rPr>
        <w:t xml:space="preserve">mps d'évaporation et des lois cinétiques complexes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1ère phase : la germination correspond à l'apparition d'une phase cristalline stable à partir d'un liquide surfondu ou d'une solution sursaturée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lastRenderedPageBreak/>
        <w:t xml:space="preserve">• 2ème phase : la croissance est le processus qui va suivre la germination et permettre l'augmentation de taille des germes pour conduire aux cristaux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pageBreakBefore/>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lastRenderedPageBreak/>
        <w:t xml:space="preserve">La plupart des substances minérales et des petites molécules organiques cristallisent facilement et les cristaux obtenus sont en général sans défaut.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u w:val="single"/>
        </w:rPr>
        <w:t xml:space="preserve">En revanche </w:t>
      </w:r>
      <w:r w:rsidRPr="00A40689">
        <w:rPr>
          <w:rFonts w:ascii="Times New Roman" w:hAnsi="Times New Roman" w:cs="Times New Roman"/>
          <w:color w:val="000000"/>
          <w:sz w:val="26"/>
          <w:szCs w:val="26"/>
        </w:rPr>
        <w:t xml:space="preserve">les macromolécules biologiques, comme les protéines, sont souvent très difficiles à cristalliser. C'est par cristallographie que J. Watson, F. Crick, M. Wilkins et R. Franklin ont pu déterminer la structure hélicoïdale de l'ADN en 1953 (Prix Nobel en 1962).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roofErr w:type="spellStart"/>
      <w:r w:rsidRPr="00A40689">
        <w:rPr>
          <w:rFonts w:ascii="Times New Roman" w:hAnsi="Times New Roman" w:cs="Times New Roman"/>
          <w:color w:val="000000"/>
          <w:sz w:val="26"/>
          <w:szCs w:val="26"/>
          <w:u w:val="single"/>
        </w:rPr>
        <w:t>Vb</w:t>
      </w:r>
      <w:proofErr w:type="spellEnd"/>
      <w:r w:rsidRPr="00A40689">
        <w:rPr>
          <w:rFonts w:ascii="Times New Roman" w:hAnsi="Times New Roman" w:cs="Times New Roman"/>
          <w:color w:val="000000"/>
          <w:sz w:val="26"/>
          <w:szCs w:val="26"/>
          <w:u w:val="single"/>
        </w:rPr>
        <w:t xml:space="preserve"> : La banque de données "</w:t>
      </w:r>
      <w:proofErr w:type="spellStart"/>
      <w:r w:rsidRPr="00A40689">
        <w:rPr>
          <w:rFonts w:ascii="Times New Roman" w:hAnsi="Times New Roman" w:cs="Times New Roman"/>
          <w:color w:val="000000"/>
          <w:sz w:val="26"/>
          <w:szCs w:val="26"/>
          <w:u w:val="single"/>
        </w:rPr>
        <w:t>Protein</w:t>
      </w:r>
      <w:proofErr w:type="spellEnd"/>
      <w:r w:rsidRPr="00A40689">
        <w:rPr>
          <w:rFonts w:ascii="Times New Roman" w:hAnsi="Times New Roman" w:cs="Times New Roman"/>
          <w:color w:val="000000"/>
          <w:sz w:val="26"/>
          <w:szCs w:val="26"/>
          <w:u w:val="single"/>
        </w:rPr>
        <w:t xml:space="preserve"> data Bank" (PDB)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Elle contient l'ensemble des données structurales des protéines (plus de 27.855 structures !) obtenues par cristallographie ou par RMN. Chaque jour, six nouvelles structures tridimensionnelles y sont déposées.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 nombre de conformations connues de protéines significativement différentes (moins de 25% d'acides aminés identiques entre deux séquences) est de 1500. La distribution observée des repliements est très hétérogène (certains sont très peuplés, d'autres beaucoup moins).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On évalue à environ 10.000 le nombre total de structures protéiques originales qui suffirait à modéliser la quasi-totalité des protéines connues. Les fichiers PDB sont de divers formats.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u w:val="single"/>
        </w:rPr>
      </w:pPr>
      <w:r w:rsidRPr="00A40689">
        <w:rPr>
          <w:rFonts w:ascii="Times New Roman" w:hAnsi="Times New Roman" w:cs="Times New Roman"/>
          <w:color w:val="000000"/>
          <w:sz w:val="26"/>
          <w:szCs w:val="26"/>
          <w:u w:val="single"/>
        </w:rPr>
        <w:t xml:space="preserve">VI : la spectrométrie de masse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Les protéines sont de grosses molécules biologiques. La spectrométrie de masse permet de les fractionner (actuellement jusqu'à 2 10</w:t>
      </w:r>
      <w:r w:rsidRPr="00A40689">
        <w:rPr>
          <w:rFonts w:ascii="Times New Roman" w:hAnsi="Times New Roman" w:cs="Times New Roman"/>
          <w:color w:val="000000"/>
          <w:position w:val="12"/>
          <w:sz w:val="26"/>
          <w:szCs w:val="26"/>
          <w:vertAlign w:val="superscript"/>
        </w:rPr>
        <w:t xml:space="preserve">5 </w:t>
      </w:r>
      <w:r w:rsidRPr="00A40689">
        <w:rPr>
          <w:rFonts w:ascii="Times New Roman" w:hAnsi="Times New Roman" w:cs="Times New Roman"/>
          <w:color w:val="000000"/>
          <w:sz w:val="26"/>
          <w:szCs w:val="26"/>
        </w:rPr>
        <w:t xml:space="preserve">Dalton) en les ionisant, puis de déduire la masse de ces molécules selon leurs trajectoires.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Les fragments sont accélérés par un champ magnétique et/ou électrique et ils sont triés en fonction de leur rapport : masse/charge (M/z).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u w:val="single"/>
        </w:rPr>
      </w:pPr>
      <w:r w:rsidRPr="00A40689">
        <w:rPr>
          <w:rFonts w:ascii="Times New Roman" w:hAnsi="Times New Roman" w:cs="Times New Roman"/>
          <w:color w:val="000000"/>
          <w:sz w:val="26"/>
          <w:szCs w:val="26"/>
          <w:u w:val="single"/>
        </w:rPr>
        <w:t xml:space="preserve">VII : La résonance paramagnétique électronique (RPE)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Un radical libre est un atome ou une molécule qui possède un ou plusieurs </w:t>
      </w:r>
      <w:proofErr w:type="gramStart"/>
      <w:r w:rsidRPr="00A40689">
        <w:rPr>
          <w:rFonts w:ascii="Times New Roman" w:hAnsi="Times New Roman" w:cs="Times New Roman"/>
          <w:color w:val="000000"/>
          <w:sz w:val="26"/>
          <w:szCs w:val="26"/>
        </w:rPr>
        <w:t>électron célibataire</w:t>
      </w:r>
      <w:proofErr w:type="gramEnd"/>
      <w:r w:rsidRPr="00A40689">
        <w:rPr>
          <w:rFonts w:ascii="Times New Roman" w:hAnsi="Times New Roman" w:cs="Times New Roman"/>
          <w:color w:val="000000"/>
          <w:sz w:val="26"/>
          <w:szCs w:val="26"/>
        </w:rPr>
        <w:t xml:space="preserve">. Un électron célibataire engendre une grande instabilité de la molécule. Les espèces radicalaires sont produites naturellement par phénomène d'oxydation et peuvent s'attaquer aux composés vitaux des cellules.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La résonance paramagnétique électronique est une méthode directe d'étude des phénomènes radicalaires. Elle permet donc de mettre en évidence des composés possédant au moins un électron célibataire.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u w:val="single"/>
        </w:rPr>
      </w:pPr>
      <w:r w:rsidRPr="00A40689">
        <w:rPr>
          <w:rFonts w:ascii="Times New Roman" w:hAnsi="Times New Roman" w:cs="Times New Roman"/>
          <w:color w:val="000000"/>
          <w:sz w:val="26"/>
          <w:szCs w:val="26"/>
          <w:u w:val="single"/>
        </w:rPr>
        <w:t xml:space="preserve">VIII : La mécanique et la modélisation moléculaires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Ce type d'approche est complémentaire des techniques physiques qui précèdent. Ces objectifs sont entre autres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la "visualisation" informatique des molécules à partir de données structurales (cristallographiques, RMN, </w:t>
      </w:r>
      <w:proofErr w:type="gramStart"/>
      <w:r w:rsidRPr="00A40689">
        <w:rPr>
          <w:rFonts w:ascii="Times New Roman" w:hAnsi="Times New Roman" w:cs="Times New Roman"/>
          <w:color w:val="000000"/>
          <w:sz w:val="26"/>
          <w:szCs w:val="26"/>
        </w:rPr>
        <w:t>spectroscopiques ,</w:t>
      </w:r>
      <w:proofErr w:type="gramEnd"/>
      <w:r w:rsidRPr="00A40689">
        <w:rPr>
          <w:rFonts w:ascii="Times New Roman" w:hAnsi="Times New Roman" w:cs="Times New Roman"/>
          <w:color w:val="000000"/>
          <w:sz w:val="26"/>
          <w:szCs w:val="26"/>
        </w:rPr>
        <w:t xml:space="preserve">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l'obtention d'informations sur la dynamique et l'énergie des molécules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calculer le champ de force pour déterminer les propriétés des molécules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corréler ces propriétés à une structure moléculaire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valider la structure moléculaire </w:t>
      </w: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p>
    <w:p w:rsidR="00931C21" w:rsidRPr="00A40689" w:rsidRDefault="00931C21" w:rsidP="00931C21">
      <w:pPr>
        <w:autoSpaceDE w:val="0"/>
        <w:autoSpaceDN w:val="0"/>
        <w:adjustRightInd w:val="0"/>
        <w:spacing w:after="0" w:line="240" w:lineRule="auto"/>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Différents outils informatiques sont utilisés pour :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visualiser la structure des molécules en 3 dimensions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les "manipuler" (rotation, translation, changement de conformation) </w:t>
      </w:r>
    </w:p>
    <w:p w:rsidR="00931C21" w:rsidRPr="00A40689" w:rsidRDefault="00931C21" w:rsidP="00931C21">
      <w:pPr>
        <w:autoSpaceDE w:val="0"/>
        <w:autoSpaceDN w:val="0"/>
        <w:adjustRightInd w:val="0"/>
        <w:spacing w:after="0" w:line="240" w:lineRule="auto"/>
        <w:ind w:left="720" w:hanging="360"/>
        <w:rPr>
          <w:rFonts w:ascii="Times New Roman" w:hAnsi="Times New Roman" w:cs="Times New Roman"/>
          <w:color w:val="000000"/>
          <w:sz w:val="26"/>
          <w:szCs w:val="26"/>
        </w:rPr>
      </w:pPr>
      <w:r w:rsidRPr="00A40689">
        <w:rPr>
          <w:rFonts w:ascii="Times New Roman" w:hAnsi="Times New Roman" w:cs="Times New Roman"/>
          <w:color w:val="000000"/>
          <w:sz w:val="26"/>
          <w:szCs w:val="26"/>
        </w:rPr>
        <w:t xml:space="preserve">• calculer les paramètres géométriques (distance inter atomique, angle, ...) </w:t>
      </w:r>
    </w:p>
    <w:p w:rsidR="009A2383" w:rsidRPr="00A40689" w:rsidRDefault="009A2383">
      <w:pPr>
        <w:rPr>
          <w:rFonts w:ascii="Times New Roman" w:hAnsi="Times New Roman" w:cs="Times New Roman"/>
          <w:sz w:val="26"/>
          <w:szCs w:val="26"/>
        </w:rPr>
      </w:pPr>
    </w:p>
    <w:sectPr w:rsidR="009A2383" w:rsidRPr="00A40689" w:rsidSect="00C71843">
      <w:pgSz w:w="11900" w:h="17340"/>
      <w:pgMar w:top="1150" w:right="840" w:bottom="1222" w:left="11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NBDL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21"/>
    <w:rsid w:val="00931C21"/>
    <w:rsid w:val="009A2383"/>
    <w:rsid w:val="00A40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C21"/>
    <w:pPr>
      <w:autoSpaceDE w:val="0"/>
      <w:autoSpaceDN w:val="0"/>
      <w:adjustRightInd w:val="0"/>
      <w:spacing w:after="0" w:line="240" w:lineRule="auto"/>
    </w:pPr>
    <w:rPr>
      <w:rFonts w:ascii="CNBDLA+TimesNewRoman,Bold" w:hAnsi="CNBDLA+TimesNewRoman,Bold" w:cs="CNBDLA+TimesNewRoman,Bold"/>
      <w:color w:val="000000"/>
      <w:sz w:val="24"/>
      <w:szCs w:val="24"/>
    </w:rPr>
  </w:style>
  <w:style w:type="paragraph" w:customStyle="1" w:styleId="Titre">
    <w:name w:val="Titre"/>
    <w:basedOn w:val="Default"/>
    <w:next w:val="Default"/>
    <w:uiPriority w:val="99"/>
    <w:rsid w:val="00931C21"/>
    <w:rPr>
      <w:rFonts w:cstheme="minorBidi"/>
      <w:color w:val="auto"/>
    </w:rPr>
  </w:style>
  <w:style w:type="paragraph" w:customStyle="1" w:styleId="Titre1">
    <w:name w:val="Titre 1"/>
    <w:basedOn w:val="Default"/>
    <w:next w:val="Default"/>
    <w:uiPriority w:val="99"/>
    <w:rsid w:val="00931C21"/>
    <w:rPr>
      <w:rFonts w:cstheme="minorBidi"/>
      <w:color w:val="auto"/>
    </w:rPr>
  </w:style>
  <w:style w:type="paragraph" w:customStyle="1" w:styleId="Titre2">
    <w:name w:val="Titre 2"/>
    <w:basedOn w:val="Default"/>
    <w:next w:val="Default"/>
    <w:uiPriority w:val="99"/>
    <w:rsid w:val="00931C21"/>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1C21"/>
    <w:pPr>
      <w:autoSpaceDE w:val="0"/>
      <w:autoSpaceDN w:val="0"/>
      <w:adjustRightInd w:val="0"/>
      <w:spacing w:after="0" w:line="240" w:lineRule="auto"/>
    </w:pPr>
    <w:rPr>
      <w:rFonts w:ascii="CNBDLA+TimesNewRoman,Bold" w:hAnsi="CNBDLA+TimesNewRoman,Bold" w:cs="CNBDLA+TimesNewRoman,Bold"/>
      <w:color w:val="000000"/>
      <w:sz w:val="24"/>
      <w:szCs w:val="24"/>
    </w:rPr>
  </w:style>
  <w:style w:type="paragraph" w:customStyle="1" w:styleId="Titre">
    <w:name w:val="Titre"/>
    <w:basedOn w:val="Default"/>
    <w:next w:val="Default"/>
    <w:uiPriority w:val="99"/>
    <w:rsid w:val="00931C21"/>
    <w:rPr>
      <w:rFonts w:cstheme="minorBidi"/>
      <w:color w:val="auto"/>
    </w:rPr>
  </w:style>
  <w:style w:type="paragraph" w:customStyle="1" w:styleId="Titre1">
    <w:name w:val="Titre 1"/>
    <w:basedOn w:val="Default"/>
    <w:next w:val="Default"/>
    <w:uiPriority w:val="99"/>
    <w:rsid w:val="00931C21"/>
    <w:rPr>
      <w:rFonts w:cstheme="minorBidi"/>
      <w:color w:val="auto"/>
    </w:rPr>
  </w:style>
  <w:style w:type="paragraph" w:customStyle="1" w:styleId="Titre2">
    <w:name w:val="Titre 2"/>
    <w:basedOn w:val="Default"/>
    <w:next w:val="Default"/>
    <w:uiPriority w:val="99"/>
    <w:rsid w:val="00931C2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1312</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2013-11-03T14:08:00Z</dcterms:created>
  <dcterms:modified xsi:type="dcterms:W3CDTF">2013-11-03T15:30:00Z</dcterms:modified>
</cp:coreProperties>
</file>