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1ED6" w:rsidRPr="00D95165" w:rsidRDefault="00D95165" w:rsidP="00D95165">
      <w:pPr>
        <w:spacing w:line="316" w:lineRule="exact"/>
        <w:jc w:val="center"/>
        <w:rPr>
          <w:rFonts w:ascii="Times New Roman" w:eastAsia="Times New Roman" w:hAnsi="Times New Roman"/>
          <w:color w:val="4472C4" w:themeColor="accent1"/>
          <w:sz w:val="24"/>
          <w:lang w:val="en-US"/>
        </w:rPr>
      </w:pPr>
      <w:r w:rsidRPr="00D95165">
        <w:rPr>
          <w:rFonts w:ascii="Times New Roman" w:eastAsia="Times New Roman" w:hAnsi="Times New Roman"/>
          <w:color w:val="4472C4" w:themeColor="accent1"/>
          <w:sz w:val="24"/>
          <w:lang w:val="en-US"/>
        </w:rPr>
        <w:t xml:space="preserve">Medical </w:t>
      </w:r>
      <w:bookmarkStart w:id="0" w:name="_GoBack"/>
      <w:bookmarkEnd w:id="0"/>
      <w:r w:rsidRPr="00D95165">
        <w:rPr>
          <w:rFonts w:ascii="Times New Roman" w:eastAsia="Times New Roman" w:hAnsi="Times New Roman"/>
          <w:color w:val="4472C4" w:themeColor="accent1"/>
          <w:sz w:val="24"/>
          <w:lang w:val="en-US"/>
        </w:rPr>
        <w:t>Malpractice Law and Litigation</w:t>
      </w:r>
    </w:p>
    <w:p w:rsidR="00D95165" w:rsidRPr="00245F28" w:rsidRDefault="00D95165">
      <w:pPr>
        <w:spacing w:line="316" w:lineRule="exact"/>
        <w:rPr>
          <w:rFonts w:ascii="Times New Roman" w:eastAsia="Times New Roman" w:hAnsi="Times New Roman"/>
          <w:sz w:val="24"/>
          <w:lang w:val="en-US"/>
        </w:rPr>
      </w:pPr>
    </w:p>
    <w:p w:rsidR="00DA1ED6" w:rsidRPr="00245F28" w:rsidRDefault="001A76B2">
      <w:pPr>
        <w:spacing w:line="0" w:lineRule="atLeast"/>
        <w:ind w:left="20"/>
        <w:rPr>
          <w:rFonts w:ascii="Arial" w:eastAsia="Arial" w:hAnsi="Arial"/>
          <w:b/>
          <w:sz w:val="24"/>
          <w:lang w:val="en-US"/>
        </w:rPr>
      </w:pPr>
      <w:r w:rsidRPr="00245F28">
        <w:rPr>
          <w:rFonts w:ascii="Arial" w:eastAsia="Arial" w:hAnsi="Arial"/>
          <w:b/>
          <w:sz w:val="24"/>
          <w:lang w:val="en-US"/>
        </w:rPr>
        <w:t>CHAPTER ONE QUIZ</w:t>
      </w:r>
    </w:p>
    <w:p w:rsidR="00DA1ED6" w:rsidRPr="00245F28" w:rsidRDefault="00DA1ED6">
      <w:pPr>
        <w:spacing w:line="324" w:lineRule="exact"/>
        <w:rPr>
          <w:rFonts w:ascii="Times New Roman" w:eastAsia="Times New Roman" w:hAnsi="Times New Roman"/>
          <w:sz w:val="24"/>
          <w:lang w:val="en-US"/>
        </w:rPr>
      </w:pPr>
    </w:p>
    <w:p w:rsidR="00DA1ED6" w:rsidRDefault="001A76B2">
      <w:pPr>
        <w:spacing w:line="0" w:lineRule="atLeast"/>
        <w:ind w:left="740"/>
        <w:rPr>
          <w:rFonts w:ascii="Arial" w:eastAsia="Arial" w:hAnsi="Arial"/>
          <w:b/>
          <w:sz w:val="24"/>
        </w:rPr>
      </w:pPr>
      <w:r>
        <w:rPr>
          <w:rFonts w:ascii="Arial" w:eastAsia="Arial" w:hAnsi="Arial"/>
          <w:b/>
          <w:sz w:val="24"/>
        </w:rPr>
        <w:t>True/False</w:t>
      </w:r>
    </w:p>
    <w:p w:rsidR="00DA1ED6" w:rsidRDefault="00DA1ED6">
      <w:pPr>
        <w:spacing w:line="146" w:lineRule="exact"/>
        <w:rPr>
          <w:rFonts w:ascii="Times New Roman" w:eastAsia="Times New Roman" w:hAnsi="Times New Roman"/>
          <w:sz w:val="24"/>
        </w:rPr>
      </w:pPr>
    </w:p>
    <w:p w:rsidR="00DA1ED6" w:rsidRPr="001A76B2" w:rsidRDefault="001A76B2">
      <w:pPr>
        <w:numPr>
          <w:ilvl w:val="0"/>
          <w:numId w:val="1"/>
        </w:numPr>
        <w:tabs>
          <w:tab w:val="left" w:pos="1080"/>
        </w:tabs>
        <w:spacing w:line="235" w:lineRule="auto"/>
        <w:ind w:left="1080" w:right="1440" w:hanging="262"/>
        <w:rPr>
          <w:rFonts w:ascii="Times New Roman" w:eastAsia="Times New Roman" w:hAnsi="Times New Roman"/>
          <w:lang w:val="en-US"/>
        </w:rPr>
      </w:pPr>
      <w:r w:rsidRPr="001A76B2">
        <w:rPr>
          <w:rFonts w:ascii="Times New Roman" w:eastAsia="Times New Roman" w:hAnsi="Times New Roman"/>
          <w:lang w:val="en-US"/>
        </w:rPr>
        <w:t>The element of forseeability requires a health care provider to anticipate every possible outcome of his or her conduct.</w:t>
      </w:r>
    </w:p>
    <w:p w:rsidR="00DA1ED6" w:rsidRPr="001A76B2" w:rsidRDefault="00DA1ED6">
      <w:pPr>
        <w:spacing w:line="149" w:lineRule="exact"/>
        <w:rPr>
          <w:rFonts w:ascii="Times New Roman" w:eastAsia="Times New Roman" w:hAnsi="Times New Roman"/>
          <w:lang w:val="en-US"/>
        </w:rPr>
      </w:pPr>
    </w:p>
    <w:p w:rsidR="00DA1ED6" w:rsidRPr="001A76B2" w:rsidRDefault="001A76B2">
      <w:pPr>
        <w:numPr>
          <w:ilvl w:val="0"/>
          <w:numId w:val="1"/>
        </w:numPr>
        <w:tabs>
          <w:tab w:val="left" w:pos="1080"/>
        </w:tabs>
        <w:spacing w:line="235" w:lineRule="auto"/>
        <w:ind w:left="1080" w:right="1780" w:hanging="262"/>
        <w:rPr>
          <w:rFonts w:ascii="Times New Roman" w:eastAsia="Times New Roman" w:hAnsi="Times New Roman"/>
          <w:lang w:val="en-US"/>
        </w:rPr>
      </w:pPr>
      <w:r w:rsidRPr="001A76B2">
        <w:rPr>
          <w:rFonts w:ascii="Times New Roman" w:eastAsia="Times New Roman" w:hAnsi="Times New Roman"/>
          <w:lang w:val="en-US"/>
        </w:rPr>
        <w:t>The majority of jurisdictions now apply the locality rule as the standard of care for health care professionals.</w:t>
      </w:r>
    </w:p>
    <w:p w:rsidR="00DA1ED6" w:rsidRPr="001A76B2" w:rsidRDefault="00DA1ED6">
      <w:pPr>
        <w:spacing w:line="149" w:lineRule="exact"/>
        <w:rPr>
          <w:rFonts w:ascii="Times New Roman" w:eastAsia="Times New Roman" w:hAnsi="Times New Roman"/>
          <w:lang w:val="en-US"/>
        </w:rPr>
      </w:pPr>
    </w:p>
    <w:p w:rsidR="00DA1ED6" w:rsidRPr="001A76B2" w:rsidRDefault="001A76B2">
      <w:pPr>
        <w:numPr>
          <w:ilvl w:val="0"/>
          <w:numId w:val="1"/>
        </w:numPr>
        <w:tabs>
          <w:tab w:val="left" w:pos="1080"/>
        </w:tabs>
        <w:spacing w:line="235" w:lineRule="auto"/>
        <w:ind w:left="1080" w:right="1420" w:hanging="262"/>
        <w:rPr>
          <w:rFonts w:ascii="Times New Roman" w:eastAsia="Times New Roman" w:hAnsi="Times New Roman"/>
          <w:lang w:val="en-US"/>
        </w:rPr>
      </w:pPr>
      <w:r w:rsidRPr="001A76B2">
        <w:rPr>
          <w:rFonts w:ascii="Times New Roman" w:eastAsia="Times New Roman" w:hAnsi="Times New Roman"/>
          <w:lang w:val="en-US"/>
        </w:rPr>
        <w:t>Res ipsa loquitur can be applied in cases of negligence where the evidence of causation is inaccessi-ble to the plaintiff.</w:t>
      </w:r>
    </w:p>
    <w:p w:rsidR="00DA1ED6" w:rsidRPr="001A76B2" w:rsidRDefault="00DA1ED6">
      <w:pPr>
        <w:spacing w:line="149" w:lineRule="exact"/>
        <w:rPr>
          <w:rFonts w:ascii="Times New Roman" w:eastAsia="Times New Roman" w:hAnsi="Times New Roman"/>
          <w:lang w:val="en-US"/>
        </w:rPr>
      </w:pPr>
    </w:p>
    <w:p w:rsidR="00DA1ED6" w:rsidRPr="001A76B2" w:rsidRDefault="001A76B2">
      <w:pPr>
        <w:numPr>
          <w:ilvl w:val="0"/>
          <w:numId w:val="1"/>
        </w:numPr>
        <w:tabs>
          <w:tab w:val="left" w:pos="1080"/>
        </w:tabs>
        <w:spacing w:line="235" w:lineRule="auto"/>
        <w:ind w:left="1080" w:right="1480" w:hanging="262"/>
        <w:rPr>
          <w:rFonts w:ascii="Times New Roman" w:eastAsia="Times New Roman" w:hAnsi="Times New Roman"/>
          <w:lang w:val="en-US"/>
        </w:rPr>
      </w:pPr>
      <w:r w:rsidRPr="001A76B2">
        <w:rPr>
          <w:rFonts w:ascii="Times New Roman" w:eastAsia="Times New Roman" w:hAnsi="Times New Roman"/>
          <w:lang w:val="en-US"/>
        </w:rPr>
        <w:t>A patient who can prove the elements of an intentional tort by a health care provider is entitled to recovery, regardless of whether any damage was suffered.</w:t>
      </w:r>
    </w:p>
    <w:p w:rsidR="00DA1ED6" w:rsidRPr="001A76B2" w:rsidRDefault="00DA1ED6">
      <w:pPr>
        <w:spacing w:line="131" w:lineRule="exact"/>
        <w:rPr>
          <w:rFonts w:ascii="Times New Roman" w:eastAsia="Times New Roman" w:hAnsi="Times New Roman"/>
          <w:lang w:val="en-US"/>
        </w:rPr>
      </w:pPr>
    </w:p>
    <w:p w:rsidR="00DA1ED6" w:rsidRPr="001A76B2" w:rsidRDefault="001A76B2">
      <w:pPr>
        <w:numPr>
          <w:ilvl w:val="0"/>
          <w:numId w:val="1"/>
        </w:numPr>
        <w:tabs>
          <w:tab w:val="left" w:pos="1080"/>
        </w:tabs>
        <w:spacing w:line="0" w:lineRule="atLeast"/>
        <w:ind w:left="1080" w:hanging="262"/>
        <w:rPr>
          <w:rFonts w:ascii="Times New Roman" w:eastAsia="Times New Roman" w:hAnsi="Times New Roman"/>
          <w:lang w:val="en-US"/>
        </w:rPr>
      </w:pPr>
      <w:r w:rsidRPr="001A76B2">
        <w:rPr>
          <w:rFonts w:ascii="Times New Roman" w:eastAsia="Times New Roman" w:hAnsi="Times New Roman"/>
          <w:lang w:val="en-US"/>
        </w:rPr>
        <w:t>Strict liability is used only in products liability cases.</w:t>
      </w:r>
    </w:p>
    <w:p w:rsidR="00DA1ED6" w:rsidRPr="001A76B2" w:rsidRDefault="00DA1ED6">
      <w:pPr>
        <w:spacing w:line="326" w:lineRule="exact"/>
        <w:rPr>
          <w:rFonts w:ascii="Times New Roman" w:eastAsia="Times New Roman" w:hAnsi="Times New Roman"/>
          <w:sz w:val="24"/>
          <w:lang w:val="en-US"/>
        </w:rPr>
      </w:pPr>
    </w:p>
    <w:p w:rsidR="00DA1ED6" w:rsidRDefault="001A76B2">
      <w:pPr>
        <w:spacing w:line="0" w:lineRule="atLeast"/>
        <w:ind w:left="740"/>
        <w:rPr>
          <w:rFonts w:ascii="Arial" w:eastAsia="Arial" w:hAnsi="Arial"/>
          <w:b/>
          <w:sz w:val="24"/>
        </w:rPr>
      </w:pPr>
      <w:r>
        <w:rPr>
          <w:rFonts w:ascii="Arial" w:eastAsia="Arial" w:hAnsi="Arial"/>
          <w:b/>
          <w:sz w:val="24"/>
        </w:rPr>
        <w:t>Multiple Choice</w:t>
      </w:r>
    </w:p>
    <w:p w:rsidR="00DA1ED6" w:rsidRDefault="00DA1ED6">
      <w:pPr>
        <w:spacing w:line="146" w:lineRule="exact"/>
        <w:rPr>
          <w:rFonts w:ascii="Times New Roman" w:eastAsia="Times New Roman" w:hAnsi="Times New Roman"/>
          <w:sz w:val="24"/>
        </w:rPr>
      </w:pPr>
    </w:p>
    <w:p w:rsidR="00DA1ED6" w:rsidRPr="001A76B2" w:rsidRDefault="001A76B2">
      <w:pPr>
        <w:numPr>
          <w:ilvl w:val="0"/>
          <w:numId w:val="2"/>
        </w:numPr>
        <w:tabs>
          <w:tab w:val="left" w:pos="1080"/>
        </w:tabs>
        <w:spacing w:line="241" w:lineRule="auto"/>
        <w:ind w:left="1080" w:right="1560" w:hanging="262"/>
        <w:rPr>
          <w:rFonts w:ascii="Times New Roman" w:eastAsia="Times New Roman" w:hAnsi="Times New Roman"/>
          <w:lang w:val="en-US"/>
        </w:rPr>
      </w:pPr>
      <w:r w:rsidRPr="001A76B2">
        <w:rPr>
          <w:rFonts w:ascii="Times New Roman" w:eastAsia="Times New Roman" w:hAnsi="Times New Roman"/>
          <w:lang w:val="en-US"/>
        </w:rPr>
        <w:t>Documentation of the fact that a physical therapist knew or should have known that forcing a patient into physical movement for treatment of an injury before tests confirming the nature and extent of the injury were complete would be evidence of the element of</w:t>
      </w:r>
    </w:p>
    <w:p w:rsidR="00DA1ED6" w:rsidRPr="001A76B2" w:rsidRDefault="00DA1ED6">
      <w:pPr>
        <w:spacing w:line="129" w:lineRule="exact"/>
        <w:rPr>
          <w:rFonts w:ascii="Times New Roman" w:eastAsia="Times New Roman" w:hAnsi="Times New Roman"/>
          <w:lang w:val="en-US"/>
        </w:rPr>
      </w:pPr>
    </w:p>
    <w:p w:rsidR="00DA1ED6" w:rsidRDefault="001A76B2">
      <w:pPr>
        <w:numPr>
          <w:ilvl w:val="1"/>
          <w:numId w:val="2"/>
        </w:numPr>
        <w:tabs>
          <w:tab w:val="left" w:pos="1420"/>
        </w:tabs>
        <w:spacing w:line="0" w:lineRule="atLeast"/>
        <w:ind w:left="1420" w:hanging="215"/>
        <w:rPr>
          <w:rFonts w:ascii="Times New Roman" w:eastAsia="Times New Roman" w:hAnsi="Times New Roman"/>
        </w:rPr>
      </w:pPr>
      <w:r>
        <w:rPr>
          <w:rFonts w:ascii="Times New Roman" w:eastAsia="Times New Roman" w:hAnsi="Times New Roman"/>
        </w:rPr>
        <w:t>foreseeability.</w:t>
      </w:r>
    </w:p>
    <w:p w:rsidR="00DA1ED6" w:rsidRDefault="00DA1ED6">
      <w:pPr>
        <w:spacing w:line="10" w:lineRule="exact"/>
        <w:rPr>
          <w:rFonts w:ascii="Times New Roman" w:eastAsia="Times New Roman" w:hAnsi="Times New Roman"/>
        </w:rPr>
      </w:pPr>
    </w:p>
    <w:p w:rsidR="00DA1ED6" w:rsidRDefault="001A76B2">
      <w:pPr>
        <w:numPr>
          <w:ilvl w:val="1"/>
          <w:numId w:val="2"/>
        </w:numPr>
        <w:tabs>
          <w:tab w:val="left" w:pos="1420"/>
        </w:tabs>
        <w:spacing w:line="0" w:lineRule="atLeast"/>
        <w:ind w:left="1420" w:hanging="226"/>
        <w:rPr>
          <w:rFonts w:ascii="Times New Roman" w:eastAsia="Times New Roman" w:hAnsi="Times New Roman"/>
        </w:rPr>
      </w:pPr>
      <w:r>
        <w:rPr>
          <w:rFonts w:ascii="Times New Roman" w:eastAsia="Times New Roman" w:hAnsi="Times New Roman"/>
        </w:rPr>
        <w:t>damage.</w:t>
      </w:r>
    </w:p>
    <w:p w:rsidR="00DA1ED6" w:rsidRDefault="00DA1ED6">
      <w:pPr>
        <w:spacing w:line="10" w:lineRule="exact"/>
        <w:rPr>
          <w:rFonts w:ascii="Times New Roman" w:eastAsia="Times New Roman" w:hAnsi="Times New Roman"/>
        </w:rPr>
      </w:pPr>
    </w:p>
    <w:p w:rsidR="00DA1ED6" w:rsidRDefault="001A76B2">
      <w:pPr>
        <w:numPr>
          <w:ilvl w:val="1"/>
          <w:numId w:val="2"/>
        </w:numPr>
        <w:tabs>
          <w:tab w:val="left" w:pos="1420"/>
        </w:tabs>
        <w:spacing w:line="0" w:lineRule="atLeast"/>
        <w:ind w:left="1420" w:hanging="211"/>
        <w:rPr>
          <w:rFonts w:ascii="Times New Roman" w:eastAsia="Times New Roman" w:hAnsi="Times New Roman"/>
        </w:rPr>
      </w:pPr>
      <w:r>
        <w:rPr>
          <w:rFonts w:ascii="Times New Roman" w:eastAsia="Times New Roman" w:hAnsi="Times New Roman"/>
        </w:rPr>
        <w:t>res ipsa loquitur.</w:t>
      </w:r>
    </w:p>
    <w:p w:rsidR="00DA1ED6" w:rsidRDefault="00DA1ED6">
      <w:pPr>
        <w:spacing w:line="10" w:lineRule="exact"/>
        <w:rPr>
          <w:rFonts w:ascii="Times New Roman" w:eastAsia="Times New Roman" w:hAnsi="Times New Roman"/>
        </w:rPr>
      </w:pPr>
    </w:p>
    <w:p w:rsidR="00DA1ED6" w:rsidRDefault="001A76B2">
      <w:pPr>
        <w:numPr>
          <w:ilvl w:val="1"/>
          <w:numId w:val="2"/>
        </w:numPr>
        <w:tabs>
          <w:tab w:val="left" w:pos="1420"/>
        </w:tabs>
        <w:spacing w:line="0" w:lineRule="atLeast"/>
        <w:ind w:left="1420" w:hanging="234"/>
        <w:rPr>
          <w:rFonts w:ascii="Times New Roman" w:eastAsia="Times New Roman" w:hAnsi="Times New Roman"/>
        </w:rPr>
      </w:pPr>
      <w:r>
        <w:rPr>
          <w:rFonts w:ascii="Times New Roman" w:eastAsia="Times New Roman" w:hAnsi="Times New Roman"/>
        </w:rPr>
        <w:t>the extent of duty.</w:t>
      </w:r>
    </w:p>
    <w:p w:rsidR="00DA1ED6" w:rsidRDefault="00DA1ED6">
      <w:pPr>
        <w:spacing w:line="147" w:lineRule="exact"/>
        <w:rPr>
          <w:rFonts w:ascii="Times New Roman" w:eastAsia="Times New Roman" w:hAnsi="Times New Roman"/>
        </w:rPr>
      </w:pPr>
    </w:p>
    <w:p w:rsidR="00DA1ED6" w:rsidRPr="001A76B2" w:rsidRDefault="001A76B2">
      <w:pPr>
        <w:numPr>
          <w:ilvl w:val="0"/>
          <w:numId w:val="2"/>
        </w:numPr>
        <w:tabs>
          <w:tab w:val="left" w:pos="1080"/>
        </w:tabs>
        <w:spacing w:line="247" w:lineRule="auto"/>
        <w:ind w:left="1080" w:right="1320" w:hanging="262"/>
        <w:rPr>
          <w:rFonts w:ascii="Times New Roman" w:eastAsia="Times New Roman" w:hAnsi="Times New Roman"/>
          <w:lang w:val="en-US"/>
        </w:rPr>
      </w:pPr>
      <w:r w:rsidRPr="001A76B2">
        <w:rPr>
          <w:rFonts w:ascii="Times New Roman" w:eastAsia="Times New Roman" w:hAnsi="Times New Roman"/>
          <w:lang w:val="en-US"/>
        </w:rPr>
        <w:t>Dr. J was a small-town optometrist whose entire practice consisted of the diagnosis of basic levels of sight, as well as prescribing eyeglasses and contact lenses. All conditions suspected of disease were referred to an ophthalmologist who had a medical degree and specialized training. However, on one occasion Dr. J treated a long-time patient who had developed eye problems and prescribed eye patches and antibiotic ointments. In actuality, the patient suffered from a rare form of cancer of the eye. In reliance on Dr. J’s skills, the patient sought no other treatment. The patient died as a result of the cancer. Dr. J could likely be sued for</w:t>
      </w:r>
    </w:p>
    <w:p w:rsidR="00DA1ED6" w:rsidRPr="001A76B2" w:rsidRDefault="00DA1ED6">
      <w:pPr>
        <w:spacing w:line="125" w:lineRule="exact"/>
        <w:rPr>
          <w:rFonts w:ascii="Times New Roman" w:eastAsia="Times New Roman" w:hAnsi="Times New Roman"/>
          <w:lang w:val="en-US"/>
        </w:rPr>
      </w:pPr>
    </w:p>
    <w:p w:rsidR="00DA1ED6" w:rsidRDefault="001A76B2">
      <w:pPr>
        <w:numPr>
          <w:ilvl w:val="1"/>
          <w:numId w:val="2"/>
        </w:numPr>
        <w:tabs>
          <w:tab w:val="left" w:pos="1420"/>
        </w:tabs>
        <w:spacing w:line="0" w:lineRule="atLeast"/>
        <w:ind w:left="1420" w:hanging="215"/>
        <w:rPr>
          <w:rFonts w:ascii="Times New Roman" w:eastAsia="Times New Roman" w:hAnsi="Times New Roman"/>
        </w:rPr>
      </w:pPr>
      <w:r>
        <w:rPr>
          <w:rFonts w:ascii="Times New Roman" w:eastAsia="Times New Roman" w:hAnsi="Times New Roman"/>
        </w:rPr>
        <w:t>intentional tort of abandonment.</w:t>
      </w:r>
    </w:p>
    <w:p w:rsidR="00DA1ED6" w:rsidRDefault="00DA1ED6">
      <w:pPr>
        <w:spacing w:line="10" w:lineRule="exact"/>
        <w:rPr>
          <w:rFonts w:ascii="Times New Roman" w:eastAsia="Times New Roman" w:hAnsi="Times New Roman"/>
        </w:rPr>
      </w:pPr>
    </w:p>
    <w:p w:rsidR="00DA1ED6" w:rsidRDefault="001A76B2">
      <w:pPr>
        <w:numPr>
          <w:ilvl w:val="1"/>
          <w:numId w:val="2"/>
        </w:numPr>
        <w:tabs>
          <w:tab w:val="left" w:pos="1420"/>
        </w:tabs>
        <w:spacing w:line="0" w:lineRule="atLeast"/>
        <w:ind w:left="1420" w:hanging="226"/>
        <w:rPr>
          <w:rFonts w:ascii="Times New Roman" w:eastAsia="Times New Roman" w:hAnsi="Times New Roman"/>
        </w:rPr>
      </w:pPr>
      <w:r>
        <w:rPr>
          <w:rFonts w:ascii="Times New Roman" w:eastAsia="Times New Roman" w:hAnsi="Times New Roman"/>
        </w:rPr>
        <w:t>negligence.</w:t>
      </w:r>
    </w:p>
    <w:p w:rsidR="00DA1ED6" w:rsidRDefault="00DA1ED6">
      <w:pPr>
        <w:spacing w:line="8" w:lineRule="exact"/>
        <w:rPr>
          <w:rFonts w:ascii="Times New Roman" w:eastAsia="Times New Roman" w:hAnsi="Times New Roman"/>
        </w:rPr>
      </w:pPr>
    </w:p>
    <w:p w:rsidR="00DA1ED6" w:rsidRDefault="001A76B2">
      <w:pPr>
        <w:numPr>
          <w:ilvl w:val="1"/>
          <w:numId w:val="2"/>
        </w:numPr>
        <w:tabs>
          <w:tab w:val="left" w:pos="1420"/>
        </w:tabs>
        <w:spacing w:line="0" w:lineRule="atLeast"/>
        <w:ind w:left="1420" w:hanging="211"/>
        <w:rPr>
          <w:rFonts w:ascii="Times New Roman" w:eastAsia="Times New Roman" w:hAnsi="Times New Roman"/>
        </w:rPr>
      </w:pPr>
      <w:r>
        <w:rPr>
          <w:rFonts w:ascii="Times New Roman" w:eastAsia="Times New Roman" w:hAnsi="Times New Roman"/>
        </w:rPr>
        <w:t>strict liability.</w:t>
      </w:r>
    </w:p>
    <w:p w:rsidR="00DA1ED6" w:rsidRDefault="00DA1ED6">
      <w:pPr>
        <w:spacing w:line="12" w:lineRule="exact"/>
        <w:rPr>
          <w:rFonts w:ascii="Times New Roman" w:eastAsia="Times New Roman" w:hAnsi="Times New Roman"/>
        </w:rPr>
      </w:pPr>
    </w:p>
    <w:p w:rsidR="00DA1ED6" w:rsidRDefault="001A76B2">
      <w:pPr>
        <w:numPr>
          <w:ilvl w:val="1"/>
          <w:numId w:val="2"/>
        </w:numPr>
        <w:tabs>
          <w:tab w:val="left" w:pos="1420"/>
        </w:tabs>
        <w:spacing w:line="0" w:lineRule="atLeast"/>
        <w:ind w:left="1420" w:hanging="234"/>
        <w:rPr>
          <w:rFonts w:ascii="Times New Roman" w:eastAsia="Times New Roman" w:hAnsi="Times New Roman"/>
        </w:rPr>
      </w:pPr>
      <w:r>
        <w:rPr>
          <w:rFonts w:ascii="Times New Roman" w:eastAsia="Times New Roman" w:hAnsi="Times New Roman"/>
        </w:rPr>
        <w:t>None of the above.</w:t>
      </w:r>
    </w:p>
    <w:p w:rsidR="00DA1ED6" w:rsidRDefault="00DA1ED6">
      <w:pPr>
        <w:spacing w:line="148" w:lineRule="exact"/>
        <w:rPr>
          <w:rFonts w:ascii="Times New Roman" w:eastAsia="Times New Roman" w:hAnsi="Times New Roman"/>
        </w:rPr>
      </w:pPr>
    </w:p>
    <w:p w:rsidR="00DA1ED6" w:rsidRPr="001A76B2" w:rsidRDefault="001A76B2">
      <w:pPr>
        <w:numPr>
          <w:ilvl w:val="0"/>
          <w:numId w:val="2"/>
        </w:numPr>
        <w:tabs>
          <w:tab w:val="left" w:pos="1080"/>
        </w:tabs>
        <w:spacing w:line="247" w:lineRule="auto"/>
        <w:ind w:left="1080" w:right="1320" w:hanging="262"/>
        <w:rPr>
          <w:rFonts w:ascii="Times New Roman" w:eastAsia="Times New Roman" w:hAnsi="Times New Roman"/>
          <w:lang w:val="en-US"/>
        </w:rPr>
      </w:pPr>
      <w:r w:rsidRPr="001A76B2">
        <w:rPr>
          <w:rFonts w:ascii="Times New Roman" w:eastAsia="Times New Roman" w:hAnsi="Times New Roman"/>
          <w:lang w:val="en-US"/>
        </w:rPr>
        <w:t>Hospital X was sued for the negligence of its nursing staff, when on a particular shift, six visitors were allowed to visit a patient, though the hospital’s policy is no more than two visitors per patient. As a result of the crowd, additional chairs were brought into the room from a waiting area and a chair was accidentally placed with the leg blocking off an IV line supplying medication to the patient. The patient developed complications from the lack of medication and ultimately was forced to spend significant additional time in the hospital as a result. Under the claim of negligence, the plaintiff must prove the nursing staff</w:t>
      </w:r>
    </w:p>
    <w:p w:rsidR="00DA1ED6" w:rsidRPr="001A76B2" w:rsidRDefault="00DA1ED6">
      <w:pPr>
        <w:spacing w:line="125" w:lineRule="exact"/>
        <w:rPr>
          <w:rFonts w:ascii="Times New Roman" w:eastAsia="Times New Roman" w:hAnsi="Times New Roman"/>
          <w:lang w:val="en-US"/>
        </w:rPr>
      </w:pPr>
    </w:p>
    <w:p w:rsidR="00DA1ED6" w:rsidRPr="001A76B2" w:rsidRDefault="001A76B2">
      <w:pPr>
        <w:numPr>
          <w:ilvl w:val="1"/>
          <w:numId w:val="2"/>
        </w:numPr>
        <w:tabs>
          <w:tab w:val="left" w:pos="1420"/>
        </w:tabs>
        <w:spacing w:line="0" w:lineRule="atLeast"/>
        <w:ind w:left="1420" w:hanging="215"/>
        <w:rPr>
          <w:rFonts w:ascii="Times New Roman" w:eastAsia="Times New Roman" w:hAnsi="Times New Roman"/>
          <w:lang w:val="en-US"/>
        </w:rPr>
      </w:pPr>
      <w:r w:rsidRPr="001A76B2">
        <w:rPr>
          <w:rFonts w:ascii="Times New Roman" w:eastAsia="Times New Roman" w:hAnsi="Times New Roman"/>
          <w:lang w:val="en-US"/>
        </w:rPr>
        <w:t>knew or should have known there was a likelihood of injury to the patient.</w:t>
      </w:r>
    </w:p>
    <w:p w:rsidR="00DA1ED6" w:rsidRPr="001A76B2" w:rsidRDefault="00DA1ED6">
      <w:pPr>
        <w:spacing w:line="10" w:lineRule="exact"/>
        <w:rPr>
          <w:rFonts w:ascii="Times New Roman" w:eastAsia="Times New Roman" w:hAnsi="Times New Roman"/>
          <w:lang w:val="en-US"/>
        </w:rPr>
      </w:pPr>
    </w:p>
    <w:p w:rsidR="00DA1ED6" w:rsidRPr="001A76B2" w:rsidRDefault="001A76B2">
      <w:pPr>
        <w:numPr>
          <w:ilvl w:val="1"/>
          <w:numId w:val="2"/>
        </w:numPr>
        <w:tabs>
          <w:tab w:val="left" w:pos="1420"/>
        </w:tabs>
        <w:spacing w:line="0" w:lineRule="atLeast"/>
        <w:ind w:left="1420" w:hanging="226"/>
        <w:rPr>
          <w:rFonts w:ascii="Times New Roman" w:eastAsia="Times New Roman" w:hAnsi="Times New Roman"/>
          <w:lang w:val="en-US"/>
        </w:rPr>
      </w:pPr>
      <w:r w:rsidRPr="001A76B2">
        <w:rPr>
          <w:rFonts w:ascii="Times New Roman" w:eastAsia="Times New Roman" w:hAnsi="Times New Roman"/>
          <w:lang w:val="en-US"/>
        </w:rPr>
        <w:t>knew or should have known there was a substantial certainty that the patient would suffer injury.</w:t>
      </w:r>
    </w:p>
    <w:p w:rsidR="00DA1ED6" w:rsidRPr="001A76B2" w:rsidRDefault="00DA1ED6">
      <w:pPr>
        <w:spacing w:line="10" w:lineRule="exact"/>
        <w:rPr>
          <w:rFonts w:ascii="Times New Roman" w:eastAsia="Times New Roman" w:hAnsi="Times New Roman"/>
          <w:lang w:val="en-US"/>
        </w:rPr>
      </w:pPr>
    </w:p>
    <w:p w:rsidR="00DA1ED6" w:rsidRPr="001A76B2" w:rsidRDefault="001A76B2">
      <w:pPr>
        <w:numPr>
          <w:ilvl w:val="1"/>
          <w:numId w:val="2"/>
        </w:numPr>
        <w:tabs>
          <w:tab w:val="left" w:pos="1420"/>
        </w:tabs>
        <w:spacing w:line="0" w:lineRule="atLeast"/>
        <w:ind w:left="1420" w:hanging="211"/>
        <w:rPr>
          <w:rFonts w:ascii="Times New Roman" w:eastAsia="Times New Roman" w:hAnsi="Times New Roman"/>
          <w:lang w:val="en-US"/>
        </w:rPr>
      </w:pPr>
      <w:r w:rsidRPr="001A76B2">
        <w:rPr>
          <w:rFonts w:ascii="Times New Roman" w:eastAsia="Times New Roman" w:hAnsi="Times New Roman"/>
          <w:lang w:val="en-US"/>
        </w:rPr>
        <w:t>acted with reckless disregard for the safety of patients.</w:t>
      </w:r>
    </w:p>
    <w:p w:rsidR="00DA1ED6" w:rsidRPr="001A76B2" w:rsidRDefault="00DA1ED6">
      <w:pPr>
        <w:spacing w:line="10" w:lineRule="exact"/>
        <w:rPr>
          <w:rFonts w:ascii="Times New Roman" w:eastAsia="Times New Roman" w:hAnsi="Times New Roman"/>
          <w:lang w:val="en-US"/>
        </w:rPr>
      </w:pPr>
    </w:p>
    <w:p w:rsidR="00DA1ED6" w:rsidRPr="001A76B2" w:rsidRDefault="001A76B2">
      <w:pPr>
        <w:numPr>
          <w:ilvl w:val="1"/>
          <w:numId w:val="2"/>
        </w:numPr>
        <w:tabs>
          <w:tab w:val="left" w:pos="1420"/>
        </w:tabs>
        <w:spacing w:line="0" w:lineRule="atLeast"/>
        <w:ind w:left="1420" w:hanging="234"/>
        <w:rPr>
          <w:rFonts w:ascii="Times New Roman" w:eastAsia="Times New Roman" w:hAnsi="Times New Roman"/>
          <w:lang w:val="en-US"/>
        </w:rPr>
      </w:pPr>
      <w:r w:rsidRPr="001A76B2">
        <w:rPr>
          <w:rFonts w:ascii="Times New Roman" w:eastAsia="Times New Roman" w:hAnsi="Times New Roman"/>
          <w:lang w:val="en-US"/>
        </w:rPr>
        <w:t>was responsible for the injury to the patient regardless of whether it was intended or not.</w:t>
      </w:r>
    </w:p>
    <w:p w:rsidR="00DA1ED6" w:rsidRPr="001A76B2" w:rsidRDefault="00DA1ED6">
      <w:pPr>
        <w:tabs>
          <w:tab w:val="left" w:pos="1420"/>
        </w:tabs>
        <w:spacing w:line="0" w:lineRule="atLeast"/>
        <w:ind w:left="1420" w:hanging="234"/>
        <w:rPr>
          <w:rFonts w:ascii="Times New Roman" w:eastAsia="Times New Roman" w:hAnsi="Times New Roman"/>
          <w:lang w:val="en-US"/>
        </w:rPr>
        <w:sectPr w:rsidR="00DA1ED6" w:rsidRPr="001A76B2">
          <w:pgSz w:w="12240" w:h="15840"/>
          <w:pgMar w:top="510" w:right="380" w:bottom="1440" w:left="1440" w:header="0" w:footer="0" w:gutter="0"/>
          <w:cols w:space="0" w:equalWidth="0">
            <w:col w:w="10420"/>
          </w:cols>
          <w:docGrid w:linePitch="360"/>
        </w:sectPr>
      </w:pPr>
    </w:p>
    <w:p w:rsidR="00DA1ED6" w:rsidRDefault="001A76B2">
      <w:pPr>
        <w:numPr>
          <w:ilvl w:val="0"/>
          <w:numId w:val="3"/>
        </w:numPr>
        <w:tabs>
          <w:tab w:val="left" w:pos="720"/>
        </w:tabs>
        <w:spacing w:line="0" w:lineRule="atLeast"/>
        <w:ind w:left="720" w:hanging="720"/>
        <w:rPr>
          <w:rFonts w:ascii="Arial" w:eastAsia="Arial" w:hAnsi="Arial"/>
          <w:b/>
          <w:sz w:val="14"/>
        </w:rPr>
      </w:pPr>
      <w:bookmarkStart w:id="1" w:name="page2"/>
      <w:bookmarkEnd w:id="1"/>
      <w:r>
        <w:rPr>
          <w:rFonts w:ascii="Arial" w:eastAsia="Arial" w:hAnsi="Arial"/>
          <w:b/>
          <w:sz w:val="14"/>
        </w:rPr>
        <w:lastRenderedPageBreak/>
        <w:t>CHAPTER 1</w:t>
      </w:r>
    </w:p>
    <w:p w:rsidR="00DA1ED6" w:rsidRDefault="001A76B2">
      <w:pPr>
        <w:spacing w:line="20" w:lineRule="exact"/>
        <w:rPr>
          <w:rFonts w:ascii="Times New Roman" w:eastAsia="Times New Roman" w:hAnsi="Times New Roman"/>
        </w:rPr>
      </w:pPr>
      <w:r>
        <w:rPr>
          <w:rFonts w:ascii="Arial" w:eastAsia="Arial" w:hAnsi="Arial"/>
          <w:b/>
          <w:noProof/>
          <w:sz w:val="14"/>
        </w:rPr>
        <w:drawing>
          <wp:anchor distT="0" distB="0" distL="114300" distR="114300" simplePos="0" relativeHeight="251657728" behindDoc="1" locked="0" layoutInCell="1" allowOverlap="1">
            <wp:simplePos x="0" y="0"/>
            <wp:positionH relativeFrom="column">
              <wp:posOffset>-583565</wp:posOffset>
            </wp:positionH>
            <wp:positionV relativeFrom="paragraph">
              <wp:posOffset>75565</wp:posOffset>
            </wp:positionV>
            <wp:extent cx="6400800" cy="6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DA1ED6" w:rsidRDefault="00DA1ED6">
      <w:pPr>
        <w:spacing w:line="20" w:lineRule="exact"/>
        <w:rPr>
          <w:rFonts w:ascii="Times New Roman" w:eastAsia="Times New Roman" w:hAnsi="Times New Roman"/>
        </w:rPr>
        <w:sectPr w:rsidR="00DA1ED6">
          <w:pgSz w:w="12240" w:h="15840"/>
          <w:pgMar w:top="518" w:right="1440" w:bottom="1059" w:left="920" w:header="0" w:footer="0" w:gutter="0"/>
          <w:cols w:space="0" w:equalWidth="0">
            <w:col w:w="9880"/>
          </w:cols>
          <w:docGrid w:linePitch="360"/>
        </w:sectPr>
      </w:pPr>
    </w:p>
    <w:p w:rsidR="00DA1ED6" w:rsidRDefault="00DA1ED6">
      <w:pPr>
        <w:spacing w:line="200" w:lineRule="exact"/>
        <w:rPr>
          <w:rFonts w:ascii="Times New Roman" w:eastAsia="Times New Roman" w:hAnsi="Times New Roman"/>
        </w:rPr>
      </w:pPr>
    </w:p>
    <w:p w:rsidR="00DA1ED6" w:rsidRDefault="00DA1ED6">
      <w:pPr>
        <w:spacing w:line="285" w:lineRule="exact"/>
        <w:rPr>
          <w:rFonts w:ascii="Times New Roman" w:eastAsia="Times New Roman" w:hAnsi="Times New Roman"/>
        </w:rPr>
      </w:pPr>
    </w:p>
    <w:p w:rsidR="00DA1ED6" w:rsidRPr="00245F28" w:rsidRDefault="001A76B2">
      <w:pPr>
        <w:numPr>
          <w:ilvl w:val="0"/>
          <w:numId w:val="4"/>
        </w:numPr>
        <w:tabs>
          <w:tab w:val="left" w:pos="1060"/>
        </w:tabs>
        <w:spacing w:line="245" w:lineRule="auto"/>
        <w:ind w:left="1060" w:right="740" w:hanging="262"/>
        <w:rPr>
          <w:rFonts w:ascii="Times New Roman" w:eastAsia="Times New Roman" w:hAnsi="Times New Roman"/>
          <w:lang w:val="en-US"/>
        </w:rPr>
      </w:pPr>
      <w:r w:rsidRPr="001A76B2">
        <w:rPr>
          <w:rFonts w:ascii="Times New Roman" w:eastAsia="Times New Roman" w:hAnsi="Times New Roman"/>
          <w:lang w:val="en-US"/>
        </w:rPr>
        <w:t xml:space="preserve">Karen suffered a fall and went to an emergency room for treatment. </w:t>
      </w:r>
      <w:r w:rsidRPr="00245F28">
        <w:rPr>
          <w:rFonts w:ascii="Times New Roman" w:eastAsia="Times New Roman" w:hAnsi="Times New Roman"/>
          <w:lang w:val="en-US"/>
        </w:rPr>
        <w:t>Her diagnosis was a compound fracture of the left arm. She was taken to surgery. The fracture was set, and while under anesthesia, her arm was placed in a cast. After leaving, she followed all directions given by the treating physician. After six weeks the cast was removed and it was obvious that the arm was grossly deformed. Karen’s best option would be to file an action using which theory?</w:t>
      </w:r>
    </w:p>
    <w:p w:rsidR="00DA1ED6" w:rsidRPr="00245F28" w:rsidRDefault="00DA1ED6">
      <w:pPr>
        <w:spacing w:line="128" w:lineRule="exact"/>
        <w:rPr>
          <w:rFonts w:ascii="Times New Roman" w:eastAsia="Times New Roman" w:hAnsi="Times New Roman"/>
          <w:lang w:val="en-US"/>
        </w:rPr>
      </w:pPr>
    </w:p>
    <w:p w:rsidR="00DA1ED6" w:rsidRDefault="001A76B2">
      <w:pPr>
        <w:numPr>
          <w:ilvl w:val="1"/>
          <w:numId w:val="4"/>
        </w:numPr>
        <w:tabs>
          <w:tab w:val="left" w:pos="1400"/>
        </w:tabs>
        <w:spacing w:line="0" w:lineRule="atLeast"/>
        <w:ind w:left="1400" w:hanging="215"/>
        <w:rPr>
          <w:rFonts w:ascii="Times New Roman" w:eastAsia="Times New Roman" w:hAnsi="Times New Roman"/>
        </w:rPr>
      </w:pPr>
      <w:r>
        <w:rPr>
          <w:rFonts w:ascii="Times New Roman" w:eastAsia="Times New Roman" w:hAnsi="Times New Roman"/>
        </w:rPr>
        <w:t>Strict liability</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26"/>
        <w:rPr>
          <w:rFonts w:ascii="Times New Roman" w:eastAsia="Times New Roman" w:hAnsi="Times New Roman"/>
        </w:rPr>
      </w:pPr>
      <w:r>
        <w:rPr>
          <w:rFonts w:ascii="Times New Roman" w:eastAsia="Times New Roman" w:hAnsi="Times New Roman"/>
        </w:rPr>
        <w:t>Negligence</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1"/>
        <w:rPr>
          <w:rFonts w:ascii="Times New Roman" w:eastAsia="Times New Roman" w:hAnsi="Times New Roman"/>
        </w:rPr>
      </w:pPr>
      <w:r>
        <w:rPr>
          <w:rFonts w:ascii="Times New Roman" w:eastAsia="Times New Roman" w:hAnsi="Times New Roman"/>
        </w:rPr>
        <w:t>Negligence with res ipsa loquitur</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34"/>
        <w:rPr>
          <w:rFonts w:ascii="Times New Roman" w:eastAsia="Times New Roman" w:hAnsi="Times New Roman"/>
        </w:rPr>
      </w:pPr>
      <w:r>
        <w:rPr>
          <w:rFonts w:ascii="Times New Roman" w:eastAsia="Times New Roman" w:hAnsi="Times New Roman"/>
        </w:rPr>
        <w:t>Intentional tort</w:t>
      </w:r>
    </w:p>
    <w:p w:rsidR="00DA1ED6" w:rsidRDefault="00DA1ED6">
      <w:pPr>
        <w:spacing w:line="147" w:lineRule="exact"/>
        <w:rPr>
          <w:rFonts w:ascii="Times New Roman" w:eastAsia="Times New Roman" w:hAnsi="Times New Roman"/>
        </w:rPr>
      </w:pPr>
    </w:p>
    <w:p w:rsidR="00DA1ED6" w:rsidRPr="00245F28" w:rsidRDefault="001A76B2">
      <w:pPr>
        <w:numPr>
          <w:ilvl w:val="0"/>
          <w:numId w:val="4"/>
        </w:numPr>
        <w:tabs>
          <w:tab w:val="left" w:pos="1060"/>
        </w:tabs>
        <w:spacing w:line="248" w:lineRule="auto"/>
        <w:ind w:left="1060" w:right="760" w:hanging="352"/>
        <w:rPr>
          <w:rFonts w:ascii="Times New Roman" w:eastAsia="Times New Roman" w:hAnsi="Times New Roman"/>
          <w:lang w:val="en-US"/>
        </w:rPr>
      </w:pPr>
      <w:r w:rsidRPr="00245F28">
        <w:rPr>
          <w:rFonts w:ascii="Times New Roman" w:eastAsia="Times New Roman" w:hAnsi="Times New Roman"/>
          <w:lang w:val="en-US"/>
        </w:rPr>
        <w:t>Mike S. is a respiratory therapist who provides care at several different hospitals. He works subject to a biannual contract approximately two days per week at each hospital for a fee based on the number of patients for which he provides treatment. He receives no employee benefits, and for tax purposes no taxes are withheld. He claims himself as self-employed on his tax return. He pays for a policy of liability insurance. When he is at work, he is directed to the particular patients and provides the treatments recommended by the physician orders in the hospital chart. He is fully responsible for providing the treatment and charting the patient response to treatment. He generally provides treat-ments without supervision or presence of hospital personnel or physicians. If he were sued for mal-practice in delivery of services, Mike’s employment status would most likely be that of</w:t>
      </w:r>
    </w:p>
    <w:p w:rsidR="00DA1ED6" w:rsidRPr="00245F28" w:rsidRDefault="00DA1ED6">
      <w:pPr>
        <w:spacing w:line="123" w:lineRule="exact"/>
        <w:rPr>
          <w:rFonts w:ascii="Times New Roman" w:eastAsia="Times New Roman" w:hAnsi="Times New Roman"/>
          <w:lang w:val="en-US"/>
        </w:rPr>
      </w:pPr>
    </w:p>
    <w:p w:rsidR="00DA1ED6" w:rsidRDefault="001A76B2">
      <w:pPr>
        <w:numPr>
          <w:ilvl w:val="1"/>
          <w:numId w:val="4"/>
        </w:numPr>
        <w:tabs>
          <w:tab w:val="left" w:pos="1400"/>
        </w:tabs>
        <w:spacing w:line="0" w:lineRule="atLeast"/>
        <w:ind w:left="1400" w:hanging="215"/>
        <w:rPr>
          <w:rFonts w:ascii="Times New Roman" w:eastAsia="Times New Roman" w:hAnsi="Times New Roman"/>
        </w:rPr>
      </w:pPr>
      <w:r>
        <w:rPr>
          <w:rFonts w:ascii="Times New Roman" w:eastAsia="Times New Roman" w:hAnsi="Times New Roman"/>
        </w:rPr>
        <w:t>physician employee of the physician of the patient.</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26"/>
        <w:rPr>
          <w:rFonts w:ascii="Times New Roman" w:eastAsia="Times New Roman" w:hAnsi="Times New Roman"/>
        </w:rPr>
      </w:pPr>
      <w:r>
        <w:rPr>
          <w:rFonts w:ascii="Times New Roman" w:eastAsia="Times New Roman" w:hAnsi="Times New Roman"/>
        </w:rPr>
        <w:t>hospital employee.</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1"/>
        <w:rPr>
          <w:rFonts w:ascii="Times New Roman" w:eastAsia="Times New Roman" w:hAnsi="Times New Roman"/>
        </w:rPr>
      </w:pPr>
      <w:r>
        <w:rPr>
          <w:rFonts w:ascii="Times New Roman" w:eastAsia="Times New Roman" w:hAnsi="Times New Roman"/>
        </w:rPr>
        <w:t>independent contractor.</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34"/>
        <w:rPr>
          <w:rFonts w:ascii="Times New Roman" w:eastAsia="Times New Roman" w:hAnsi="Times New Roman"/>
        </w:rPr>
      </w:pPr>
      <w:r>
        <w:rPr>
          <w:rFonts w:ascii="Times New Roman" w:eastAsia="Times New Roman" w:hAnsi="Times New Roman"/>
        </w:rPr>
        <w:t>None of the above.</w:t>
      </w:r>
    </w:p>
    <w:p w:rsidR="00DA1ED6" w:rsidRDefault="00DA1ED6">
      <w:pPr>
        <w:spacing w:line="130" w:lineRule="exact"/>
        <w:rPr>
          <w:rFonts w:ascii="Times New Roman" w:eastAsia="Times New Roman" w:hAnsi="Times New Roman"/>
        </w:rPr>
      </w:pPr>
    </w:p>
    <w:p w:rsidR="00DA1ED6" w:rsidRDefault="001A76B2">
      <w:pPr>
        <w:numPr>
          <w:ilvl w:val="0"/>
          <w:numId w:val="4"/>
        </w:numPr>
        <w:tabs>
          <w:tab w:val="left" w:pos="1060"/>
        </w:tabs>
        <w:spacing w:line="0" w:lineRule="atLeast"/>
        <w:ind w:left="1060" w:hanging="352"/>
        <w:rPr>
          <w:rFonts w:ascii="Times New Roman" w:eastAsia="Times New Roman" w:hAnsi="Times New Roman"/>
        </w:rPr>
      </w:pPr>
      <w:r>
        <w:rPr>
          <w:rFonts w:ascii="Times New Roman" w:eastAsia="Times New Roman" w:hAnsi="Times New Roman"/>
        </w:rPr>
        <w:t>A legal theory that imposes liability on those who are engaged in ultrahazardous activity is known as</w:t>
      </w:r>
    </w:p>
    <w:p w:rsidR="00DA1ED6" w:rsidRDefault="00DA1ED6">
      <w:pPr>
        <w:spacing w:line="13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5"/>
        <w:rPr>
          <w:rFonts w:ascii="Times New Roman" w:eastAsia="Times New Roman" w:hAnsi="Times New Roman"/>
        </w:rPr>
      </w:pPr>
      <w:r>
        <w:rPr>
          <w:rFonts w:ascii="Times New Roman" w:eastAsia="Times New Roman" w:hAnsi="Times New Roman"/>
        </w:rPr>
        <w:t>gross negligence.</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26"/>
        <w:rPr>
          <w:rFonts w:ascii="Times New Roman" w:eastAsia="Times New Roman" w:hAnsi="Times New Roman"/>
        </w:rPr>
      </w:pPr>
      <w:r>
        <w:rPr>
          <w:rFonts w:ascii="Times New Roman" w:eastAsia="Times New Roman" w:hAnsi="Times New Roman"/>
        </w:rPr>
        <w:t>intentional tort.</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1"/>
        <w:rPr>
          <w:rFonts w:ascii="Times New Roman" w:eastAsia="Times New Roman" w:hAnsi="Times New Roman"/>
        </w:rPr>
      </w:pPr>
      <w:r>
        <w:rPr>
          <w:rFonts w:ascii="Times New Roman" w:eastAsia="Times New Roman" w:hAnsi="Times New Roman"/>
        </w:rPr>
        <w:t>contractual liability.</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34"/>
        <w:rPr>
          <w:rFonts w:ascii="Times New Roman" w:eastAsia="Times New Roman" w:hAnsi="Times New Roman"/>
        </w:rPr>
      </w:pPr>
      <w:r>
        <w:rPr>
          <w:rFonts w:ascii="Times New Roman" w:eastAsia="Times New Roman" w:hAnsi="Times New Roman"/>
        </w:rPr>
        <w:t>strict liability.</w:t>
      </w:r>
    </w:p>
    <w:p w:rsidR="00DA1ED6" w:rsidRDefault="00DA1ED6">
      <w:pPr>
        <w:spacing w:line="147" w:lineRule="exact"/>
        <w:rPr>
          <w:rFonts w:ascii="Times New Roman" w:eastAsia="Times New Roman" w:hAnsi="Times New Roman"/>
        </w:rPr>
      </w:pPr>
    </w:p>
    <w:p w:rsidR="00DA1ED6" w:rsidRDefault="001A76B2">
      <w:pPr>
        <w:numPr>
          <w:ilvl w:val="0"/>
          <w:numId w:val="4"/>
        </w:numPr>
        <w:tabs>
          <w:tab w:val="left" w:pos="1060"/>
        </w:tabs>
        <w:spacing w:line="235" w:lineRule="auto"/>
        <w:ind w:left="1060" w:right="900" w:hanging="352"/>
        <w:rPr>
          <w:rFonts w:ascii="Times New Roman" w:eastAsia="Times New Roman" w:hAnsi="Times New Roman"/>
        </w:rPr>
      </w:pPr>
      <w:r>
        <w:rPr>
          <w:rFonts w:ascii="Times New Roman" w:eastAsia="Times New Roman" w:hAnsi="Times New Roman"/>
        </w:rPr>
        <w:t>A legal theory that imposes liability based on a willful failure to provide care, treatment, or services as promised in exchange for payment would be considered</w:t>
      </w:r>
    </w:p>
    <w:p w:rsidR="00DA1ED6" w:rsidRDefault="00DA1ED6">
      <w:pPr>
        <w:spacing w:line="131"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5"/>
        <w:rPr>
          <w:rFonts w:ascii="Times New Roman" w:eastAsia="Times New Roman" w:hAnsi="Times New Roman"/>
        </w:rPr>
      </w:pPr>
      <w:r>
        <w:rPr>
          <w:rFonts w:ascii="Times New Roman" w:eastAsia="Times New Roman" w:hAnsi="Times New Roman"/>
        </w:rPr>
        <w:t>negligence.</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26"/>
        <w:rPr>
          <w:rFonts w:ascii="Times New Roman" w:eastAsia="Times New Roman" w:hAnsi="Times New Roman"/>
        </w:rPr>
      </w:pPr>
      <w:r>
        <w:rPr>
          <w:rFonts w:ascii="Times New Roman" w:eastAsia="Times New Roman" w:hAnsi="Times New Roman"/>
        </w:rPr>
        <w:t>strict liability.</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1"/>
        <w:rPr>
          <w:rFonts w:ascii="Times New Roman" w:eastAsia="Times New Roman" w:hAnsi="Times New Roman"/>
        </w:rPr>
      </w:pPr>
      <w:r>
        <w:rPr>
          <w:rFonts w:ascii="Times New Roman" w:eastAsia="Times New Roman" w:hAnsi="Times New Roman"/>
        </w:rPr>
        <w:t>contractual liability.</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34"/>
        <w:rPr>
          <w:rFonts w:ascii="Times New Roman" w:eastAsia="Times New Roman" w:hAnsi="Times New Roman"/>
        </w:rPr>
      </w:pPr>
      <w:r>
        <w:rPr>
          <w:rFonts w:ascii="Times New Roman" w:eastAsia="Times New Roman" w:hAnsi="Times New Roman"/>
        </w:rPr>
        <w:t>intentional tort.</w:t>
      </w:r>
    </w:p>
    <w:p w:rsidR="00DA1ED6" w:rsidRDefault="00DA1ED6">
      <w:pPr>
        <w:spacing w:line="130" w:lineRule="exact"/>
        <w:rPr>
          <w:rFonts w:ascii="Times New Roman" w:eastAsia="Times New Roman" w:hAnsi="Times New Roman"/>
        </w:rPr>
      </w:pPr>
    </w:p>
    <w:p w:rsidR="00DA1ED6" w:rsidRDefault="001A76B2">
      <w:pPr>
        <w:numPr>
          <w:ilvl w:val="0"/>
          <w:numId w:val="4"/>
        </w:numPr>
        <w:tabs>
          <w:tab w:val="left" w:pos="1060"/>
        </w:tabs>
        <w:spacing w:line="0" w:lineRule="atLeast"/>
        <w:ind w:left="1060" w:hanging="352"/>
        <w:rPr>
          <w:rFonts w:ascii="Times New Roman" w:eastAsia="Times New Roman" w:hAnsi="Times New Roman"/>
        </w:rPr>
      </w:pPr>
      <w:r>
        <w:rPr>
          <w:rFonts w:ascii="Times New Roman" w:eastAsia="Times New Roman" w:hAnsi="Times New Roman"/>
        </w:rPr>
        <w:t>A legal theory that holds an employer responsible for the tortious acts of an employee is known as</w:t>
      </w:r>
    </w:p>
    <w:p w:rsidR="00DA1ED6" w:rsidRDefault="00DA1ED6">
      <w:pPr>
        <w:spacing w:line="13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5"/>
        <w:rPr>
          <w:rFonts w:ascii="Times New Roman" w:eastAsia="Times New Roman" w:hAnsi="Times New Roman"/>
        </w:rPr>
      </w:pPr>
      <w:r>
        <w:rPr>
          <w:rFonts w:ascii="Times New Roman" w:eastAsia="Times New Roman" w:hAnsi="Times New Roman"/>
        </w:rPr>
        <w:t>strict superior liability.</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26"/>
        <w:rPr>
          <w:rFonts w:ascii="Times New Roman" w:eastAsia="Times New Roman" w:hAnsi="Times New Roman"/>
        </w:rPr>
      </w:pPr>
      <w:r>
        <w:rPr>
          <w:rFonts w:ascii="Times New Roman" w:eastAsia="Times New Roman" w:hAnsi="Times New Roman"/>
        </w:rPr>
        <w:t>respondeat superior.</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1"/>
        <w:rPr>
          <w:rFonts w:ascii="Times New Roman" w:eastAsia="Times New Roman" w:hAnsi="Times New Roman"/>
        </w:rPr>
      </w:pPr>
      <w:r>
        <w:rPr>
          <w:rFonts w:ascii="Times New Roman" w:eastAsia="Times New Roman" w:hAnsi="Times New Roman"/>
        </w:rPr>
        <w:t>contractual employer liability.</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34"/>
        <w:rPr>
          <w:rFonts w:ascii="Times New Roman" w:eastAsia="Times New Roman" w:hAnsi="Times New Roman"/>
        </w:rPr>
      </w:pPr>
      <w:r>
        <w:rPr>
          <w:rFonts w:ascii="Times New Roman" w:eastAsia="Times New Roman" w:hAnsi="Times New Roman"/>
        </w:rPr>
        <w:t>None of the above.</w:t>
      </w:r>
    </w:p>
    <w:p w:rsidR="00DA1ED6" w:rsidRDefault="00DA1ED6">
      <w:pPr>
        <w:spacing w:line="130" w:lineRule="exact"/>
        <w:rPr>
          <w:rFonts w:ascii="Times New Roman" w:eastAsia="Times New Roman" w:hAnsi="Times New Roman"/>
        </w:rPr>
      </w:pPr>
    </w:p>
    <w:p w:rsidR="00DA1ED6" w:rsidRDefault="001A76B2">
      <w:pPr>
        <w:numPr>
          <w:ilvl w:val="0"/>
          <w:numId w:val="4"/>
        </w:numPr>
        <w:tabs>
          <w:tab w:val="left" w:pos="1040"/>
        </w:tabs>
        <w:spacing w:line="0" w:lineRule="atLeast"/>
        <w:ind w:left="1040" w:hanging="332"/>
        <w:rPr>
          <w:rFonts w:ascii="Times New Roman" w:eastAsia="Times New Roman" w:hAnsi="Times New Roman"/>
        </w:rPr>
      </w:pPr>
      <w:r>
        <w:rPr>
          <w:rFonts w:ascii="Times New Roman" w:eastAsia="Times New Roman" w:hAnsi="Times New Roman"/>
        </w:rPr>
        <w:t>Negligence does not require proof of</w:t>
      </w:r>
    </w:p>
    <w:p w:rsidR="00DA1ED6" w:rsidRDefault="00DA1ED6">
      <w:pPr>
        <w:spacing w:line="13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5"/>
        <w:rPr>
          <w:rFonts w:ascii="Times New Roman" w:eastAsia="Times New Roman" w:hAnsi="Times New Roman"/>
        </w:rPr>
      </w:pPr>
      <w:r>
        <w:rPr>
          <w:rFonts w:ascii="Times New Roman" w:eastAsia="Times New Roman" w:hAnsi="Times New Roman"/>
        </w:rPr>
        <w:t>breach of the standard of care.</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26"/>
        <w:rPr>
          <w:rFonts w:ascii="Times New Roman" w:eastAsia="Times New Roman" w:hAnsi="Times New Roman"/>
        </w:rPr>
      </w:pPr>
      <w:r>
        <w:rPr>
          <w:rFonts w:ascii="Times New Roman" w:eastAsia="Times New Roman" w:hAnsi="Times New Roman"/>
        </w:rPr>
        <w:t>proximate cause.</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1"/>
        <w:rPr>
          <w:rFonts w:ascii="Times New Roman" w:eastAsia="Times New Roman" w:hAnsi="Times New Roman"/>
        </w:rPr>
      </w:pPr>
      <w:r>
        <w:rPr>
          <w:rFonts w:ascii="Times New Roman" w:eastAsia="Times New Roman" w:hAnsi="Times New Roman"/>
        </w:rPr>
        <w:t>compensatory damage.</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34"/>
        <w:rPr>
          <w:rFonts w:ascii="Times New Roman" w:eastAsia="Times New Roman" w:hAnsi="Times New Roman"/>
        </w:rPr>
      </w:pPr>
      <w:r>
        <w:rPr>
          <w:rFonts w:ascii="Times New Roman" w:eastAsia="Times New Roman" w:hAnsi="Times New Roman"/>
        </w:rPr>
        <w:t>foreseeable, substantial certainty of injury.</w:t>
      </w:r>
    </w:p>
    <w:p w:rsidR="00DA1ED6" w:rsidRDefault="00DA1ED6">
      <w:pPr>
        <w:spacing w:line="130" w:lineRule="exact"/>
        <w:rPr>
          <w:rFonts w:ascii="Times New Roman" w:eastAsia="Times New Roman" w:hAnsi="Times New Roman"/>
        </w:rPr>
      </w:pPr>
    </w:p>
    <w:p w:rsidR="00DA1ED6" w:rsidRDefault="001A76B2">
      <w:pPr>
        <w:numPr>
          <w:ilvl w:val="0"/>
          <w:numId w:val="4"/>
        </w:numPr>
        <w:tabs>
          <w:tab w:val="left" w:pos="1040"/>
        </w:tabs>
        <w:spacing w:line="0" w:lineRule="atLeast"/>
        <w:ind w:left="1040" w:hanging="332"/>
        <w:rPr>
          <w:rFonts w:ascii="Times New Roman" w:eastAsia="Times New Roman" w:hAnsi="Times New Roman"/>
        </w:rPr>
      </w:pPr>
      <w:r>
        <w:rPr>
          <w:rFonts w:ascii="Times New Roman" w:eastAsia="Times New Roman" w:hAnsi="Times New Roman"/>
        </w:rPr>
        <w:t>Res ipsa loquitur is the legal theory applied exclusively to cases involving</w:t>
      </w:r>
    </w:p>
    <w:p w:rsidR="00DA1ED6" w:rsidRDefault="00DA1ED6">
      <w:pPr>
        <w:spacing w:line="13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5"/>
        <w:rPr>
          <w:rFonts w:ascii="Times New Roman" w:eastAsia="Times New Roman" w:hAnsi="Times New Roman"/>
        </w:rPr>
      </w:pPr>
      <w:r>
        <w:rPr>
          <w:rFonts w:ascii="Times New Roman" w:eastAsia="Times New Roman" w:hAnsi="Times New Roman"/>
        </w:rPr>
        <w:t>defective medical products.</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26"/>
        <w:rPr>
          <w:rFonts w:ascii="Times New Roman" w:eastAsia="Times New Roman" w:hAnsi="Times New Roman"/>
        </w:rPr>
      </w:pPr>
      <w:r>
        <w:rPr>
          <w:rFonts w:ascii="Times New Roman" w:eastAsia="Times New Roman" w:hAnsi="Times New Roman"/>
        </w:rPr>
        <w:t>intentional tort.</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11"/>
        <w:rPr>
          <w:rFonts w:ascii="Times New Roman" w:eastAsia="Times New Roman" w:hAnsi="Times New Roman"/>
        </w:rPr>
      </w:pPr>
      <w:r>
        <w:rPr>
          <w:rFonts w:ascii="Times New Roman" w:eastAsia="Times New Roman" w:hAnsi="Times New Roman"/>
        </w:rPr>
        <w:t>negligence.</w:t>
      </w:r>
    </w:p>
    <w:p w:rsidR="00DA1ED6" w:rsidRDefault="00DA1ED6">
      <w:pPr>
        <w:spacing w:line="10" w:lineRule="exact"/>
        <w:rPr>
          <w:rFonts w:ascii="Times New Roman" w:eastAsia="Times New Roman" w:hAnsi="Times New Roman"/>
        </w:rPr>
      </w:pPr>
    </w:p>
    <w:p w:rsidR="00DA1ED6" w:rsidRDefault="001A76B2">
      <w:pPr>
        <w:numPr>
          <w:ilvl w:val="1"/>
          <w:numId w:val="4"/>
        </w:numPr>
        <w:tabs>
          <w:tab w:val="left" w:pos="1400"/>
        </w:tabs>
        <w:spacing w:line="0" w:lineRule="atLeast"/>
        <w:ind w:left="1400" w:hanging="234"/>
        <w:rPr>
          <w:rFonts w:ascii="Times New Roman" w:eastAsia="Times New Roman" w:hAnsi="Times New Roman"/>
        </w:rPr>
      </w:pPr>
      <w:r>
        <w:rPr>
          <w:rFonts w:ascii="Times New Roman" w:eastAsia="Times New Roman" w:hAnsi="Times New Roman"/>
        </w:rPr>
        <w:t>respondeat superior.</w:t>
      </w:r>
    </w:p>
    <w:p w:rsidR="00DA1ED6" w:rsidRDefault="00DA1ED6">
      <w:pPr>
        <w:tabs>
          <w:tab w:val="left" w:pos="1400"/>
        </w:tabs>
        <w:spacing w:line="0" w:lineRule="atLeast"/>
        <w:ind w:left="1400" w:hanging="234"/>
        <w:rPr>
          <w:rFonts w:ascii="Times New Roman" w:eastAsia="Times New Roman" w:hAnsi="Times New Roman"/>
        </w:rPr>
        <w:sectPr w:rsidR="00DA1ED6">
          <w:type w:val="continuous"/>
          <w:pgSz w:w="12240" w:h="15840"/>
          <w:pgMar w:top="518" w:right="1440" w:bottom="1059" w:left="920" w:header="0" w:footer="0" w:gutter="0"/>
          <w:cols w:space="0" w:equalWidth="0">
            <w:col w:w="9880"/>
          </w:cols>
          <w:docGrid w:linePitch="360"/>
        </w:sectPr>
      </w:pPr>
    </w:p>
    <w:tbl>
      <w:tblPr>
        <w:tblW w:w="0" w:type="auto"/>
        <w:tblLayout w:type="fixed"/>
        <w:tblCellMar>
          <w:left w:w="0" w:type="dxa"/>
          <w:right w:w="0" w:type="dxa"/>
        </w:tblCellMar>
        <w:tblLook w:val="0000" w:firstRow="0" w:lastRow="0" w:firstColumn="0" w:lastColumn="0" w:noHBand="0" w:noVBand="0"/>
      </w:tblPr>
      <w:tblGrid>
        <w:gridCol w:w="8760"/>
        <w:gridCol w:w="1660"/>
      </w:tblGrid>
      <w:tr w:rsidR="00DA1ED6">
        <w:trPr>
          <w:trHeight w:val="230"/>
        </w:trPr>
        <w:tc>
          <w:tcPr>
            <w:tcW w:w="8760" w:type="dxa"/>
            <w:shd w:val="clear" w:color="auto" w:fill="auto"/>
            <w:vAlign w:val="bottom"/>
          </w:tcPr>
          <w:p w:rsidR="00DA1ED6" w:rsidRDefault="001A76B2">
            <w:pPr>
              <w:spacing w:line="0" w:lineRule="atLeast"/>
              <w:ind w:left="7580"/>
              <w:rPr>
                <w:rFonts w:ascii="Arial" w:eastAsia="Arial" w:hAnsi="Arial"/>
                <w:b/>
              </w:rPr>
            </w:pPr>
            <w:bookmarkStart w:id="2" w:name="page3"/>
            <w:bookmarkEnd w:id="2"/>
            <w:r>
              <w:rPr>
                <w:rFonts w:ascii="Arial" w:eastAsia="Arial" w:hAnsi="Arial"/>
                <w:b/>
              </w:rPr>
              <w:lastRenderedPageBreak/>
              <w:t>CHAPTER 1</w:t>
            </w:r>
          </w:p>
        </w:tc>
        <w:tc>
          <w:tcPr>
            <w:tcW w:w="1660" w:type="dxa"/>
            <w:shd w:val="clear" w:color="auto" w:fill="auto"/>
            <w:vAlign w:val="bottom"/>
          </w:tcPr>
          <w:p w:rsidR="00DA1ED6" w:rsidRDefault="001A76B2">
            <w:pPr>
              <w:spacing w:line="0" w:lineRule="atLeast"/>
              <w:ind w:right="1160"/>
              <w:jc w:val="right"/>
              <w:rPr>
                <w:rFonts w:ascii="Arial" w:eastAsia="Arial" w:hAnsi="Arial"/>
                <w:b/>
              </w:rPr>
            </w:pPr>
            <w:r>
              <w:rPr>
                <w:rFonts w:ascii="Arial" w:eastAsia="Arial" w:hAnsi="Arial"/>
                <w:b/>
              </w:rPr>
              <w:t>5</w:t>
            </w:r>
          </w:p>
        </w:tc>
      </w:tr>
      <w:tr w:rsidR="00DA1ED6">
        <w:trPr>
          <w:trHeight w:val="58"/>
        </w:trPr>
        <w:tc>
          <w:tcPr>
            <w:tcW w:w="8760" w:type="dxa"/>
            <w:tcBorders>
              <w:bottom w:val="single" w:sz="8" w:space="0" w:color="auto"/>
            </w:tcBorders>
            <w:shd w:val="clear" w:color="auto" w:fill="auto"/>
            <w:vAlign w:val="bottom"/>
          </w:tcPr>
          <w:p w:rsidR="00DA1ED6" w:rsidRDefault="00DA1ED6">
            <w:pPr>
              <w:spacing w:line="0" w:lineRule="atLeast"/>
              <w:rPr>
                <w:rFonts w:ascii="Times New Roman" w:eastAsia="Times New Roman" w:hAnsi="Times New Roman"/>
                <w:sz w:val="5"/>
              </w:rPr>
            </w:pPr>
          </w:p>
        </w:tc>
        <w:tc>
          <w:tcPr>
            <w:tcW w:w="1660" w:type="dxa"/>
            <w:tcBorders>
              <w:bottom w:val="single" w:sz="8" w:space="0" w:color="auto"/>
            </w:tcBorders>
            <w:shd w:val="clear" w:color="auto" w:fill="auto"/>
            <w:vAlign w:val="bottom"/>
          </w:tcPr>
          <w:p w:rsidR="00DA1ED6" w:rsidRDefault="00DA1ED6">
            <w:pPr>
              <w:spacing w:line="0" w:lineRule="atLeast"/>
              <w:rPr>
                <w:rFonts w:ascii="Times New Roman" w:eastAsia="Times New Roman" w:hAnsi="Times New Roman"/>
                <w:sz w:val="5"/>
              </w:rPr>
            </w:pPr>
          </w:p>
        </w:tc>
      </w:tr>
    </w:tbl>
    <w:p w:rsidR="00DA1ED6" w:rsidRDefault="00DA1ED6">
      <w:pPr>
        <w:spacing w:line="326" w:lineRule="exact"/>
        <w:rPr>
          <w:rFonts w:ascii="Times New Roman" w:eastAsia="Times New Roman" w:hAnsi="Times New Roman"/>
        </w:rPr>
      </w:pPr>
    </w:p>
    <w:p w:rsidR="00DA1ED6" w:rsidRDefault="001A76B2">
      <w:pPr>
        <w:spacing w:line="0" w:lineRule="atLeast"/>
        <w:ind w:left="20"/>
        <w:rPr>
          <w:rFonts w:ascii="Arial" w:eastAsia="Arial" w:hAnsi="Arial"/>
          <w:b/>
          <w:sz w:val="24"/>
        </w:rPr>
      </w:pPr>
      <w:r>
        <w:rPr>
          <w:rFonts w:ascii="Arial" w:eastAsia="Arial" w:hAnsi="Arial"/>
          <w:b/>
          <w:sz w:val="24"/>
        </w:rPr>
        <w:t>CHAPTER ONE ANSWER KEY</w:t>
      </w:r>
    </w:p>
    <w:p w:rsidR="00DA1ED6" w:rsidRDefault="00DA1ED6">
      <w:pPr>
        <w:spacing w:line="248"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False</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False</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True</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False</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False</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C</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B</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A</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224"/>
        <w:rPr>
          <w:rFonts w:ascii="Times New Roman" w:eastAsia="Times New Roman" w:hAnsi="Times New Roman"/>
        </w:rPr>
      </w:pPr>
      <w:r>
        <w:rPr>
          <w:rFonts w:ascii="Times New Roman" w:eastAsia="Times New Roman" w:hAnsi="Times New Roman"/>
        </w:rPr>
        <w:t>C</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320"/>
        <w:rPr>
          <w:rFonts w:ascii="Times New Roman" w:eastAsia="Times New Roman" w:hAnsi="Times New Roman"/>
        </w:rPr>
      </w:pPr>
      <w:r>
        <w:rPr>
          <w:rFonts w:ascii="Times New Roman" w:eastAsia="Times New Roman" w:hAnsi="Times New Roman"/>
        </w:rPr>
        <w:t>C</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320"/>
        <w:rPr>
          <w:rFonts w:ascii="Times New Roman" w:eastAsia="Times New Roman" w:hAnsi="Times New Roman"/>
        </w:rPr>
      </w:pPr>
      <w:r>
        <w:rPr>
          <w:rFonts w:ascii="Times New Roman" w:eastAsia="Times New Roman" w:hAnsi="Times New Roman"/>
        </w:rPr>
        <w:t>D</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320"/>
        <w:rPr>
          <w:rFonts w:ascii="Times New Roman" w:eastAsia="Times New Roman" w:hAnsi="Times New Roman"/>
        </w:rPr>
      </w:pPr>
      <w:r>
        <w:rPr>
          <w:rFonts w:ascii="Times New Roman" w:eastAsia="Times New Roman" w:hAnsi="Times New Roman"/>
        </w:rPr>
        <w:t>C</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320"/>
        <w:rPr>
          <w:rFonts w:ascii="Times New Roman" w:eastAsia="Times New Roman" w:hAnsi="Times New Roman"/>
        </w:rPr>
      </w:pPr>
      <w:r>
        <w:rPr>
          <w:rFonts w:ascii="Times New Roman" w:eastAsia="Times New Roman" w:hAnsi="Times New Roman"/>
        </w:rPr>
        <w:t>B</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320"/>
        <w:rPr>
          <w:rFonts w:ascii="Times New Roman" w:eastAsia="Times New Roman" w:hAnsi="Times New Roman"/>
        </w:rPr>
      </w:pPr>
      <w:r>
        <w:rPr>
          <w:rFonts w:ascii="Times New Roman" w:eastAsia="Times New Roman" w:hAnsi="Times New Roman"/>
        </w:rPr>
        <w:t>D</w:t>
      </w:r>
    </w:p>
    <w:p w:rsidR="00DA1ED6" w:rsidRDefault="00DA1ED6">
      <w:pPr>
        <w:spacing w:line="250" w:lineRule="exact"/>
        <w:rPr>
          <w:rFonts w:ascii="Times New Roman" w:eastAsia="Times New Roman" w:hAnsi="Times New Roman"/>
        </w:rPr>
      </w:pPr>
    </w:p>
    <w:p w:rsidR="00DA1ED6" w:rsidRDefault="001A76B2">
      <w:pPr>
        <w:numPr>
          <w:ilvl w:val="0"/>
          <w:numId w:val="5"/>
        </w:numPr>
        <w:tabs>
          <w:tab w:val="left" w:pos="1420"/>
        </w:tabs>
        <w:spacing w:line="0" w:lineRule="atLeast"/>
        <w:ind w:left="1420" w:hanging="320"/>
        <w:rPr>
          <w:rFonts w:ascii="Times New Roman" w:eastAsia="Times New Roman" w:hAnsi="Times New Roman"/>
        </w:rPr>
      </w:pPr>
      <w:r>
        <w:rPr>
          <w:rFonts w:ascii="Times New Roman" w:eastAsia="Times New Roman" w:hAnsi="Times New Roman"/>
        </w:rPr>
        <w:t>C</w:t>
      </w:r>
    </w:p>
    <w:sectPr w:rsidR="00DA1ED6">
      <w:pgSz w:w="12240" w:h="15840"/>
      <w:pgMar w:top="510" w:right="380" w:bottom="1440" w:left="1440" w:header="0" w:footer="0" w:gutter="0"/>
      <w:cols w:space="0" w:equalWidth="0">
        <w:col w:w="10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313E7FDE">
      <w:start w:val="1"/>
      <w:numFmt w:val="decimal"/>
      <w:lvlText w:val="%1."/>
      <w:lvlJc w:val="left"/>
    </w:lvl>
    <w:lvl w:ilvl="1" w:tplc="CC8A47EA">
      <w:start w:val="1"/>
      <w:numFmt w:val="bullet"/>
      <w:lvlText w:val=""/>
      <w:lvlJc w:val="left"/>
    </w:lvl>
    <w:lvl w:ilvl="2" w:tplc="5656A980">
      <w:start w:val="1"/>
      <w:numFmt w:val="bullet"/>
      <w:lvlText w:val=""/>
      <w:lvlJc w:val="left"/>
    </w:lvl>
    <w:lvl w:ilvl="3" w:tplc="2B3AB432">
      <w:start w:val="1"/>
      <w:numFmt w:val="bullet"/>
      <w:lvlText w:val=""/>
      <w:lvlJc w:val="left"/>
    </w:lvl>
    <w:lvl w:ilvl="4" w:tplc="5E764050">
      <w:start w:val="1"/>
      <w:numFmt w:val="bullet"/>
      <w:lvlText w:val=""/>
      <w:lvlJc w:val="left"/>
    </w:lvl>
    <w:lvl w:ilvl="5" w:tplc="9736720C">
      <w:start w:val="1"/>
      <w:numFmt w:val="bullet"/>
      <w:lvlText w:val=""/>
      <w:lvlJc w:val="left"/>
    </w:lvl>
    <w:lvl w:ilvl="6" w:tplc="C0868022">
      <w:start w:val="1"/>
      <w:numFmt w:val="bullet"/>
      <w:lvlText w:val=""/>
      <w:lvlJc w:val="left"/>
    </w:lvl>
    <w:lvl w:ilvl="7" w:tplc="129A063A">
      <w:start w:val="1"/>
      <w:numFmt w:val="bullet"/>
      <w:lvlText w:val=""/>
      <w:lvlJc w:val="left"/>
    </w:lvl>
    <w:lvl w:ilvl="8" w:tplc="62061B3E">
      <w:start w:val="1"/>
      <w:numFmt w:val="bullet"/>
      <w:lvlText w:val=""/>
      <w:lvlJc w:val="left"/>
    </w:lvl>
  </w:abstractNum>
  <w:abstractNum w:abstractNumId="1" w15:restartNumberingAfterBreak="0">
    <w:nsid w:val="00000002"/>
    <w:multiLevelType w:val="hybridMultilevel"/>
    <w:tmpl w:val="2AE8944A"/>
    <w:lvl w:ilvl="0" w:tplc="AB0C6BC8">
      <w:start w:val="6"/>
      <w:numFmt w:val="decimal"/>
      <w:lvlText w:val="%1."/>
      <w:lvlJc w:val="left"/>
    </w:lvl>
    <w:lvl w:ilvl="1" w:tplc="53BEFE04">
      <w:start w:val="1"/>
      <w:numFmt w:val="lowerLetter"/>
      <w:lvlText w:val="%2."/>
      <w:lvlJc w:val="left"/>
    </w:lvl>
    <w:lvl w:ilvl="2" w:tplc="7566585A">
      <w:start w:val="1"/>
      <w:numFmt w:val="bullet"/>
      <w:lvlText w:val=""/>
      <w:lvlJc w:val="left"/>
    </w:lvl>
    <w:lvl w:ilvl="3" w:tplc="ED6CF94C">
      <w:start w:val="1"/>
      <w:numFmt w:val="bullet"/>
      <w:lvlText w:val=""/>
      <w:lvlJc w:val="left"/>
    </w:lvl>
    <w:lvl w:ilvl="4" w:tplc="7CB2245E">
      <w:start w:val="1"/>
      <w:numFmt w:val="bullet"/>
      <w:lvlText w:val=""/>
      <w:lvlJc w:val="left"/>
    </w:lvl>
    <w:lvl w:ilvl="5" w:tplc="7ABCFE48">
      <w:start w:val="1"/>
      <w:numFmt w:val="bullet"/>
      <w:lvlText w:val=""/>
      <w:lvlJc w:val="left"/>
    </w:lvl>
    <w:lvl w:ilvl="6" w:tplc="B59EFA6A">
      <w:start w:val="1"/>
      <w:numFmt w:val="bullet"/>
      <w:lvlText w:val=""/>
      <w:lvlJc w:val="left"/>
    </w:lvl>
    <w:lvl w:ilvl="7" w:tplc="6E649220">
      <w:start w:val="1"/>
      <w:numFmt w:val="bullet"/>
      <w:lvlText w:val=""/>
      <w:lvlJc w:val="left"/>
    </w:lvl>
    <w:lvl w:ilvl="8" w:tplc="6D4A06C8">
      <w:start w:val="1"/>
      <w:numFmt w:val="bullet"/>
      <w:lvlText w:val=""/>
      <w:lvlJc w:val="left"/>
    </w:lvl>
  </w:abstractNum>
  <w:abstractNum w:abstractNumId="2" w15:restartNumberingAfterBreak="0">
    <w:nsid w:val="00000003"/>
    <w:multiLevelType w:val="hybridMultilevel"/>
    <w:tmpl w:val="625558EC"/>
    <w:lvl w:ilvl="0" w:tplc="8D52E650">
      <w:start w:val="1"/>
      <w:numFmt w:val="bullet"/>
      <w:lvlText w:val="4"/>
      <w:lvlJc w:val="left"/>
    </w:lvl>
    <w:lvl w:ilvl="1" w:tplc="3B1AE54C">
      <w:start w:val="1"/>
      <w:numFmt w:val="bullet"/>
      <w:lvlText w:val=""/>
      <w:lvlJc w:val="left"/>
    </w:lvl>
    <w:lvl w:ilvl="2" w:tplc="1FFA18D2">
      <w:start w:val="1"/>
      <w:numFmt w:val="bullet"/>
      <w:lvlText w:val=""/>
      <w:lvlJc w:val="left"/>
    </w:lvl>
    <w:lvl w:ilvl="3" w:tplc="A42E0610">
      <w:start w:val="1"/>
      <w:numFmt w:val="bullet"/>
      <w:lvlText w:val=""/>
      <w:lvlJc w:val="left"/>
    </w:lvl>
    <w:lvl w:ilvl="4" w:tplc="0D48DA5E">
      <w:start w:val="1"/>
      <w:numFmt w:val="bullet"/>
      <w:lvlText w:val=""/>
      <w:lvlJc w:val="left"/>
    </w:lvl>
    <w:lvl w:ilvl="5" w:tplc="F0324D76">
      <w:start w:val="1"/>
      <w:numFmt w:val="bullet"/>
      <w:lvlText w:val=""/>
      <w:lvlJc w:val="left"/>
    </w:lvl>
    <w:lvl w:ilvl="6" w:tplc="03FC358C">
      <w:start w:val="1"/>
      <w:numFmt w:val="bullet"/>
      <w:lvlText w:val=""/>
      <w:lvlJc w:val="left"/>
    </w:lvl>
    <w:lvl w:ilvl="7" w:tplc="B25C291E">
      <w:start w:val="1"/>
      <w:numFmt w:val="bullet"/>
      <w:lvlText w:val=""/>
      <w:lvlJc w:val="left"/>
    </w:lvl>
    <w:lvl w:ilvl="8" w:tplc="E31A19C8">
      <w:start w:val="1"/>
      <w:numFmt w:val="bullet"/>
      <w:lvlText w:val=""/>
      <w:lvlJc w:val="left"/>
    </w:lvl>
  </w:abstractNum>
  <w:abstractNum w:abstractNumId="3" w15:restartNumberingAfterBreak="0">
    <w:nsid w:val="00000004"/>
    <w:multiLevelType w:val="hybridMultilevel"/>
    <w:tmpl w:val="238E1F28"/>
    <w:lvl w:ilvl="0" w:tplc="8A905EBC">
      <w:start w:val="9"/>
      <w:numFmt w:val="decimal"/>
      <w:lvlText w:val="%1."/>
      <w:lvlJc w:val="left"/>
    </w:lvl>
    <w:lvl w:ilvl="1" w:tplc="C966D3A4">
      <w:start w:val="1"/>
      <w:numFmt w:val="lowerLetter"/>
      <w:lvlText w:val="%2."/>
      <w:lvlJc w:val="left"/>
    </w:lvl>
    <w:lvl w:ilvl="2" w:tplc="C0BEEE80">
      <w:start w:val="1"/>
      <w:numFmt w:val="bullet"/>
      <w:lvlText w:val=""/>
      <w:lvlJc w:val="left"/>
    </w:lvl>
    <w:lvl w:ilvl="3" w:tplc="271E3760">
      <w:start w:val="1"/>
      <w:numFmt w:val="bullet"/>
      <w:lvlText w:val=""/>
      <w:lvlJc w:val="left"/>
    </w:lvl>
    <w:lvl w:ilvl="4" w:tplc="A71C6B8E">
      <w:start w:val="1"/>
      <w:numFmt w:val="bullet"/>
      <w:lvlText w:val=""/>
      <w:lvlJc w:val="left"/>
    </w:lvl>
    <w:lvl w:ilvl="5" w:tplc="993E4F6E">
      <w:start w:val="1"/>
      <w:numFmt w:val="bullet"/>
      <w:lvlText w:val=""/>
      <w:lvlJc w:val="left"/>
    </w:lvl>
    <w:lvl w:ilvl="6" w:tplc="B19AF710">
      <w:start w:val="1"/>
      <w:numFmt w:val="bullet"/>
      <w:lvlText w:val=""/>
      <w:lvlJc w:val="left"/>
    </w:lvl>
    <w:lvl w:ilvl="7" w:tplc="CA1E79DE">
      <w:start w:val="1"/>
      <w:numFmt w:val="bullet"/>
      <w:lvlText w:val=""/>
      <w:lvlJc w:val="left"/>
    </w:lvl>
    <w:lvl w:ilvl="8" w:tplc="CEA079E6">
      <w:start w:val="1"/>
      <w:numFmt w:val="bullet"/>
      <w:lvlText w:val=""/>
      <w:lvlJc w:val="left"/>
    </w:lvl>
  </w:abstractNum>
  <w:abstractNum w:abstractNumId="4" w15:restartNumberingAfterBreak="0">
    <w:nsid w:val="00000005"/>
    <w:multiLevelType w:val="hybridMultilevel"/>
    <w:tmpl w:val="46E87CCC"/>
    <w:lvl w:ilvl="0" w:tplc="0EB44CF2">
      <w:start w:val="1"/>
      <w:numFmt w:val="decimal"/>
      <w:lvlText w:val="%1."/>
      <w:lvlJc w:val="left"/>
    </w:lvl>
    <w:lvl w:ilvl="1" w:tplc="579461B4">
      <w:start w:val="1"/>
      <w:numFmt w:val="bullet"/>
      <w:lvlText w:val=""/>
      <w:lvlJc w:val="left"/>
    </w:lvl>
    <w:lvl w:ilvl="2" w:tplc="C972C022">
      <w:start w:val="1"/>
      <w:numFmt w:val="bullet"/>
      <w:lvlText w:val=""/>
      <w:lvlJc w:val="left"/>
    </w:lvl>
    <w:lvl w:ilvl="3" w:tplc="74D6CCDA">
      <w:start w:val="1"/>
      <w:numFmt w:val="bullet"/>
      <w:lvlText w:val=""/>
      <w:lvlJc w:val="left"/>
    </w:lvl>
    <w:lvl w:ilvl="4" w:tplc="5484CC3A">
      <w:start w:val="1"/>
      <w:numFmt w:val="bullet"/>
      <w:lvlText w:val=""/>
      <w:lvlJc w:val="left"/>
    </w:lvl>
    <w:lvl w:ilvl="5" w:tplc="7AA807A2">
      <w:start w:val="1"/>
      <w:numFmt w:val="bullet"/>
      <w:lvlText w:val=""/>
      <w:lvlJc w:val="left"/>
    </w:lvl>
    <w:lvl w:ilvl="6" w:tplc="423AF786">
      <w:start w:val="1"/>
      <w:numFmt w:val="bullet"/>
      <w:lvlText w:val=""/>
      <w:lvlJc w:val="left"/>
    </w:lvl>
    <w:lvl w:ilvl="7" w:tplc="5540FB40">
      <w:start w:val="1"/>
      <w:numFmt w:val="bullet"/>
      <w:lvlText w:val=""/>
      <w:lvlJc w:val="left"/>
    </w:lvl>
    <w:lvl w:ilvl="8" w:tplc="90AEFD5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B2"/>
    <w:rsid w:val="001A76B2"/>
    <w:rsid w:val="00245F28"/>
    <w:rsid w:val="00D95165"/>
    <w:rsid w:val="00DA1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2DE5E"/>
  <w15:chartTrackingRefBased/>
  <w15:docId w15:val="{EADF72BF-FB83-4221-9CF8-706AEAD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6</cp:revision>
  <dcterms:created xsi:type="dcterms:W3CDTF">2019-01-20T11:45:00Z</dcterms:created>
  <dcterms:modified xsi:type="dcterms:W3CDTF">2019-01-20T11:57:00Z</dcterms:modified>
</cp:coreProperties>
</file>