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8D74C5">
      <w:pPr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/>
        </w:rPr>
        <w:t>CHAPTER 20</w:t>
      </w:r>
    </w:p>
    <w:p w:rsidR="00000000" w:rsidRDefault="008D74C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  QUIZ</w:t>
      </w:r>
    </w:p>
    <w:p w:rsidR="00000000" w:rsidRDefault="008D74C5">
      <w:pPr>
        <w:rPr>
          <w:rFonts w:ascii="Arial" w:hAnsi="Arial" w:cs="Arial"/>
          <w:b/>
          <w:bCs/>
        </w:rPr>
      </w:pPr>
    </w:p>
    <w:p w:rsidR="00000000" w:rsidRDefault="008D74C5">
      <w:pPr>
        <w:pStyle w:val="Titre1"/>
      </w:pPr>
      <w:r>
        <w:t>True/False</w:t>
      </w:r>
    </w:p>
    <w:p w:rsidR="00000000" w:rsidRDefault="008D74C5">
      <w:pPr>
        <w:rPr>
          <w:rFonts w:ascii="Arial" w:hAnsi="Arial" w:cs="Arial"/>
        </w:rPr>
      </w:pPr>
    </w:p>
    <w:p w:rsidR="00000000" w:rsidRDefault="008D74C5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In a foreclosure action, all lienholders are paid on a pro rata basis.</w:t>
      </w:r>
    </w:p>
    <w:p w:rsidR="00000000" w:rsidRDefault="008D74C5">
      <w:pPr>
        <w:rPr>
          <w:rFonts w:ascii="Arial" w:hAnsi="Arial" w:cs="Arial"/>
        </w:rPr>
      </w:pPr>
    </w:p>
    <w:p w:rsidR="00000000" w:rsidRDefault="008D74C5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In a judicial foreclosure action, junior lienholders are named as defendants in the suit.</w:t>
      </w:r>
    </w:p>
    <w:p w:rsidR="00000000" w:rsidRDefault="008D74C5">
      <w:pPr>
        <w:rPr>
          <w:rFonts w:ascii="Arial" w:hAnsi="Arial" w:cs="Arial"/>
        </w:rPr>
      </w:pPr>
    </w:p>
    <w:p w:rsidR="00000000" w:rsidRDefault="008D74C5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In a judicial foreclosure action, the court requi</w:t>
      </w:r>
      <w:r>
        <w:rPr>
          <w:rFonts w:ascii="Arial" w:hAnsi="Arial" w:cs="Arial"/>
        </w:rPr>
        <w:t>res the original note and mortgage.</w:t>
      </w:r>
    </w:p>
    <w:p w:rsidR="00000000" w:rsidRDefault="008D74C5">
      <w:pPr>
        <w:rPr>
          <w:rFonts w:ascii="Arial" w:hAnsi="Arial" w:cs="Arial"/>
        </w:rPr>
      </w:pPr>
    </w:p>
    <w:p w:rsidR="00000000" w:rsidRDefault="008D74C5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Under strict foreclosure, the real property serving as collateral for the loan is not sold.</w:t>
      </w:r>
    </w:p>
    <w:p w:rsidR="00000000" w:rsidRDefault="008D74C5">
      <w:pPr>
        <w:rPr>
          <w:rFonts w:ascii="Arial" w:hAnsi="Arial" w:cs="Arial"/>
        </w:rPr>
      </w:pPr>
    </w:p>
    <w:p w:rsidR="00000000" w:rsidRDefault="008D74C5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 notice of default is a document that should be recorded.</w:t>
      </w:r>
    </w:p>
    <w:p w:rsidR="00000000" w:rsidRDefault="008D74C5">
      <w:pPr>
        <w:rPr>
          <w:rFonts w:ascii="Arial" w:hAnsi="Arial" w:cs="Arial"/>
        </w:rPr>
      </w:pPr>
    </w:p>
    <w:p w:rsidR="00000000" w:rsidRDefault="008D74C5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If the appraised value of the property is less than the outstandin</w:t>
      </w:r>
      <w:r>
        <w:rPr>
          <w:rFonts w:ascii="Arial" w:hAnsi="Arial" w:cs="Arial"/>
        </w:rPr>
        <w:t>g debt owed to the lender, the lender may not accept a deed in lieu of foreclosure.</w:t>
      </w:r>
    </w:p>
    <w:p w:rsidR="00000000" w:rsidRDefault="008D74C5">
      <w:pPr>
        <w:rPr>
          <w:rFonts w:ascii="Arial" w:hAnsi="Arial" w:cs="Arial"/>
        </w:rPr>
      </w:pPr>
    </w:p>
    <w:p w:rsidR="00000000" w:rsidRDefault="008D74C5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 deed in lieu of foreclosure makes most sense to a borrower when a borrower has high equity and is unable to cure default on a loan.</w:t>
      </w:r>
    </w:p>
    <w:p w:rsidR="00000000" w:rsidRDefault="008D74C5">
      <w:pPr>
        <w:rPr>
          <w:rFonts w:ascii="Arial" w:hAnsi="Arial" w:cs="Arial"/>
        </w:rPr>
      </w:pPr>
    </w:p>
    <w:p w:rsidR="00000000" w:rsidRDefault="008D74C5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Most deed of trust states provide fo</w:t>
      </w:r>
      <w:r>
        <w:rPr>
          <w:rFonts w:ascii="Arial" w:hAnsi="Arial" w:cs="Arial"/>
        </w:rPr>
        <w:t>r a redemption period.</w:t>
      </w:r>
    </w:p>
    <w:p w:rsidR="00000000" w:rsidRDefault="008D74C5">
      <w:pPr>
        <w:rPr>
          <w:rFonts w:ascii="Arial" w:hAnsi="Arial" w:cs="Arial"/>
        </w:rPr>
      </w:pPr>
    </w:p>
    <w:p w:rsidR="00000000" w:rsidRDefault="008D74C5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Under the Servicemembers Civil Relief Act, lenders may not foreclose upon or seize real property for failure to pay a mortgage debt while a service member is on active duty or within 120 days after the period of military service wit</w:t>
      </w:r>
      <w:r>
        <w:rPr>
          <w:rFonts w:ascii="Arial" w:hAnsi="Arial" w:cs="Arial"/>
        </w:rPr>
        <w:t>hout court approval.</w:t>
      </w:r>
    </w:p>
    <w:p w:rsidR="00000000" w:rsidRDefault="008D74C5">
      <w:pPr>
        <w:rPr>
          <w:rFonts w:ascii="Arial" w:hAnsi="Arial" w:cs="Arial"/>
        </w:rPr>
      </w:pPr>
    </w:p>
    <w:p w:rsidR="00000000" w:rsidRDefault="008D74C5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If the Internal Revenue Service has placed a federal tax lien on the property, it must be given written notice of the foreclosure sale twenty-five days prior to the date of the sale.</w:t>
      </w:r>
    </w:p>
    <w:p w:rsidR="00000000" w:rsidRDefault="008D74C5">
      <w:pPr>
        <w:rPr>
          <w:rFonts w:ascii="Arial" w:hAnsi="Arial" w:cs="Arial"/>
        </w:rPr>
      </w:pPr>
    </w:p>
    <w:p w:rsidR="00000000" w:rsidRDefault="008D74C5">
      <w:pPr>
        <w:rPr>
          <w:rFonts w:ascii="Arial" w:hAnsi="Arial" w:cs="Arial"/>
        </w:rPr>
      </w:pPr>
    </w:p>
    <w:p w:rsidR="00000000" w:rsidRDefault="008D74C5">
      <w:pPr>
        <w:pStyle w:val="Titre2"/>
      </w:pPr>
      <w:r>
        <w:t>Answer Key</w:t>
      </w:r>
    </w:p>
    <w:p w:rsidR="00000000" w:rsidRDefault="008D74C5">
      <w:pPr>
        <w:rPr>
          <w:rFonts w:ascii="Arial" w:hAnsi="Arial" w:cs="Arial"/>
        </w:rPr>
      </w:pPr>
    </w:p>
    <w:p w:rsidR="00000000" w:rsidRDefault="008D74C5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False</w:t>
      </w:r>
    </w:p>
    <w:p w:rsidR="00000000" w:rsidRDefault="008D74C5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True</w:t>
      </w:r>
    </w:p>
    <w:p w:rsidR="00000000" w:rsidRDefault="008D74C5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True</w:t>
      </w:r>
    </w:p>
    <w:p w:rsidR="00000000" w:rsidRDefault="008D74C5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True</w:t>
      </w:r>
    </w:p>
    <w:p w:rsidR="00000000" w:rsidRDefault="008D74C5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True</w:t>
      </w:r>
    </w:p>
    <w:p w:rsidR="00000000" w:rsidRDefault="008D74C5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True</w:t>
      </w:r>
    </w:p>
    <w:p w:rsidR="00000000" w:rsidRDefault="008D74C5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False</w:t>
      </w:r>
    </w:p>
    <w:p w:rsidR="00000000" w:rsidRDefault="008D74C5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True</w:t>
      </w:r>
    </w:p>
    <w:p w:rsidR="00000000" w:rsidRDefault="008D74C5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False</w:t>
      </w:r>
    </w:p>
    <w:p w:rsidR="00000000" w:rsidRDefault="008D74C5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True</w:t>
      </w:r>
    </w:p>
    <w:sectPr w:rsidR="00000000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8D74C5">
      <w:r>
        <w:separator/>
      </w:r>
    </w:p>
  </w:endnote>
  <w:endnote w:type="continuationSeparator" w:id="0">
    <w:p w:rsidR="00000000" w:rsidRDefault="008D7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8D74C5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000000" w:rsidRDefault="008D74C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8D74C5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2</w:t>
    </w:r>
    <w:r>
      <w:rPr>
        <w:rStyle w:val="Numrodepage"/>
      </w:rPr>
      <w:fldChar w:fldCharType="end"/>
    </w:r>
  </w:p>
  <w:p w:rsidR="00000000" w:rsidRDefault="008D74C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8D74C5">
      <w:r>
        <w:separator/>
      </w:r>
    </w:p>
  </w:footnote>
  <w:footnote w:type="continuationSeparator" w:id="0">
    <w:p w:rsidR="00000000" w:rsidRDefault="008D74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BF6262"/>
    <w:multiLevelType w:val="hybridMultilevel"/>
    <w:tmpl w:val="57CA4B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35A5EFA"/>
    <w:multiLevelType w:val="hybridMultilevel"/>
    <w:tmpl w:val="5B787F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4C5"/>
    <w:rsid w:val="008D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80C94C-41A2-4DBC-977F-C4A2B6F85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u w:val="single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1054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hp</cp:lastModifiedBy>
  <cp:revision>2</cp:revision>
  <dcterms:created xsi:type="dcterms:W3CDTF">2019-01-19T19:28:00Z</dcterms:created>
  <dcterms:modified xsi:type="dcterms:W3CDTF">2019-01-19T19:28:00Z</dcterms:modified>
</cp:coreProperties>
</file>