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0CF7">
      <w:pPr>
        <w:pStyle w:val="Title"/>
      </w:pPr>
      <w:r>
        <w:t xml:space="preserve">Module 3 – </w:t>
      </w:r>
      <w:bookmarkStart w:id="0" w:name="_GoBack"/>
      <w:r>
        <w:t>The Balance Sheet</w:t>
      </w:r>
      <w:bookmarkEnd w:id="0"/>
    </w:p>
    <w:p w:rsidR="00000000" w:rsidRDefault="00870CF7"/>
    <w:p w:rsidR="00000000" w:rsidRDefault="00870CF7">
      <w:r>
        <w:t>Assets can be described as:</w:t>
      </w:r>
    </w:p>
    <w:p w:rsidR="00000000" w:rsidRDefault="00870CF7">
      <w:pPr>
        <w:numPr>
          <w:ilvl w:val="0"/>
          <w:numId w:val="1"/>
        </w:numPr>
      </w:pPr>
      <w:r>
        <w:t xml:space="preserve">the </w:t>
      </w:r>
      <w:proofErr w:type="spellStart"/>
      <w:r>
        <w:t>untransformed</w:t>
      </w:r>
      <w:proofErr w:type="spellEnd"/>
      <w:r>
        <w:t xml:space="preserve"> means of production like land, buildings, plant and machinery and raw materials; and</w:t>
      </w:r>
    </w:p>
    <w:p w:rsidR="00000000" w:rsidRDefault="00870CF7">
      <w:pPr>
        <w:numPr>
          <w:ilvl w:val="0"/>
          <w:numId w:val="1"/>
        </w:numPr>
      </w:pPr>
      <w:r>
        <w:t>the transformed means of production like work-in-progress and finished good</w:t>
      </w:r>
      <w:r>
        <w:t>s</w:t>
      </w:r>
      <w:r>
        <w:t xml:space="preserve"> which have not yet</w:t>
      </w:r>
      <w:r>
        <w:t xml:space="preserve"> been released into the profit and loss account. when released these costs become ‘expenses’; no further benefit is anticipated from these costs.</w:t>
      </w:r>
    </w:p>
    <w:p w:rsidR="00000000" w:rsidRDefault="00870CF7"/>
    <w:p w:rsidR="00000000" w:rsidRDefault="00870CF7">
      <w:pPr>
        <w:rPr>
          <w:b/>
        </w:rPr>
      </w:pPr>
      <w:r>
        <w:rPr>
          <w:b/>
        </w:rPr>
        <w:t>3.3 Fixed Assets</w:t>
      </w:r>
    </w:p>
    <w:p w:rsidR="00000000" w:rsidRDefault="00870CF7">
      <w:r>
        <w:t>Fixed assets are those assets that a company keeps for a substantial period of time, not for</w:t>
      </w:r>
      <w:r>
        <w:t xml:space="preserve"> resale, but to use in the course of business. It is the intention of management as to the use of the asset, rather than the physical characteristics that are important – e.g. a car in one business may be a fixed asset but in a car dealership the cars are </w:t>
      </w:r>
      <w:r>
        <w:t>current assets. Maintenance expense and depreciation of fixed assets are both charged to the P&amp;L but the former is charged against profits in the period of outlay whereas the latter is the allocation of previously incurred cost.</w:t>
      </w:r>
    </w:p>
    <w:p w:rsidR="00000000" w:rsidRDefault="00870CF7">
      <w:pPr>
        <w:numPr>
          <w:ilvl w:val="0"/>
          <w:numId w:val="2"/>
        </w:numPr>
      </w:pPr>
      <w:r>
        <w:t>Land – not usually deprecia</w:t>
      </w:r>
      <w:r>
        <w:t>ted. The costs involved in buying land (legal fees etc.) may be capitalized and made part of the fixed asset or written off in the P&amp;L. The latter is usually the case, unless the costs are clearly related to the accusation and the asset cannot be made oper</w:t>
      </w:r>
      <w:r>
        <w:t>ational without incurring the cost. As land increase in value, the market value is either put in parenthesis or the land is revalued from time to time and the increase added to the owners equity (doesn’t effect P&amp;L)</w:t>
      </w:r>
    </w:p>
    <w:p w:rsidR="00000000" w:rsidRDefault="00870CF7">
      <w:pPr>
        <w:numPr>
          <w:ilvl w:val="0"/>
          <w:numId w:val="2"/>
        </w:numPr>
      </w:pPr>
      <w:r>
        <w:t>Buildings – slow depreciation applies</w:t>
      </w:r>
    </w:p>
    <w:p w:rsidR="00000000" w:rsidRDefault="00870CF7">
      <w:pPr>
        <w:numPr>
          <w:ilvl w:val="0"/>
          <w:numId w:val="2"/>
        </w:numPr>
      </w:pPr>
      <w:r>
        <w:t>Pl</w:t>
      </w:r>
      <w:r>
        <w:t>ant &amp; Equipment</w:t>
      </w:r>
    </w:p>
    <w:p w:rsidR="00000000" w:rsidRDefault="00870CF7">
      <w:pPr>
        <w:numPr>
          <w:ilvl w:val="0"/>
          <w:numId w:val="2"/>
        </w:numPr>
      </w:pPr>
      <w:r>
        <w:t>Fixed Asset not owned by company</w:t>
      </w:r>
    </w:p>
    <w:p w:rsidR="00000000" w:rsidRDefault="00870CF7">
      <w:r>
        <w:t>Why use leasing?</w:t>
      </w:r>
    </w:p>
    <w:p w:rsidR="00000000" w:rsidRDefault="00870CF7">
      <w:pPr>
        <w:numPr>
          <w:ilvl w:val="0"/>
          <w:numId w:val="3"/>
        </w:numPr>
      </w:pPr>
      <w:r>
        <w:t>avoids substantial outflow of cash</w:t>
      </w:r>
    </w:p>
    <w:p w:rsidR="00000000" w:rsidRDefault="00870CF7">
      <w:pPr>
        <w:numPr>
          <w:ilvl w:val="0"/>
          <w:numId w:val="3"/>
        </w:numPr>
      </w:pPr>
      <w:r>
        <w:t>spreads the cash outflow into relative small amounts over the years of the assets life</w:t>
      </w:r>
    </w:p>
    <w:p w:rsidR="00000000" w:rsidRDefault="00870CF7">
      <w:pPr>
        <w:numPr>
          <w:ilvl w:val="0"/>
          <w:numId w:val="3"/>
        </w:numPr>
      </w:pPr>
      <w:r>
        <w:t>Company can replace the leased asset with a more up to date model wi</w:t>
      </w:r>
      <w:r>
        <w:t>thout having to record a loss or gain for the sale of the old model</w:t>
      </w:r>
    </w:p>
    <w:p w:rsidR="00000000" w:rsidRDefault="00870CF7">
      <w:pPr>
        <w:numPr>
          <w:ilvl w:val="0"/>
          <w:numId w:val="3"/>
        </w:numPr>
      </w:pPr>
      <w:r>
        <w:t>Maintenance costs are usually covered by the lease agreement</w:t>
      </w:r>
    </w:p>
    <w:p w:rsidR="00000000" w:rsidRDefault="00870CF7">
      <w:pPr>
        <w:numPr>
          <w:ilvl w:val="0"/>
          <w:numId w:val="3"/>
        </w:numPr>
      </w:pPr>
      <w:r>
        <w:t>Lease payments are an allowable charge against profits before the calculation of taxes</w:t>
      </w:r>
    </w:p>
    <w:p w:rsidR="00000000" w:rsidRDefault="00870CF7"/>
    <w:p w:rsidR="00000000" w:rsidRDefault="00870CF7">
      <w:r>
        <w:t>A finance lease is one in which the own</w:t>
      </w:r>
      <w:r>
        <w:t xml:space="preserve">ership of the asset reverts to the lessee (rather than the lessor) – in this case the asset appears in the balance sheet under fixed assets and the future lease payments under ‘Creditors’. The interest charged </w:t>
      </w:r>
      <w:r>
        <w:t xml:space="preserve">per year does appear in the P&amp;L, while the </w:t>
      </w:r>
      <w:r>
        <w:t>capital</w:t>
      </w:r>
      <w:r>
        <w:t xml:space="preserve"> portion is deducted from the lease obligation in the balance sheet.</w:t>
      </w:r>
    </w:p>
    <w:p w:rsidR="00000000" w:rsidRDefault="00870CF7">
      <w:r>
        <w:t xml:space="preserve">An operating </w:t>
      </w:r>
      <w:r>
        <w:t>lease is one in which ownership remains with the lessor, in that case the lease is not capitalized but the yearly lease payments (capital &amp; interest) appear in the P&amp;L.</w:t>
      </w:r>
    </w:p>
    <w:p w:rsidR="00000000" w:rsidRDefault="00870CF7"/>
    <w:p w:rsidR="00000000" w:rsidRDefault="00870CF7">
      <w:pPr>
        <w:rPr>
          <w:b/>
        </w:rPr>
      </w:pPr>
      <w:r>
        <w:rPr>
          <w:b/>
        </w:rPr>
        <w:t>3.4 Current Assets</w:t>
      </w:r>
    </w:p>
    <w:p w:rsidR="00000000" w:rsidRDefault="00870CF7">
      <w:r>
        <w:t xml:space="preserve">Current Asset are those that are expected to be sold or consumed during the normal operating cycle of </w:t>
      </w:r>
      <w:r>
        <w:t xml:space="preserve">a company </w:t>
      </w:r>
      <w:r>
        <w:t>–</w:t>
      </w:r>
      <w:r>
        <w:t xml:space="preserve"> usually </w:t>
      </w:r>
      <w:r>
        <w:t>one year.</w:t>
      </w:r>
    </w:p>
    <w:p w:rsidR="00000000" w:rsidRDefault="00870CF7">
      <w:pPr>
        <w:numPr>
          <w:ilvl w:val="0"/>
          <w:numId w:val="5"/>
        </w:numPr>
      </w:pPr>
      <w:r>
        <w:t>Inventories:</w:t>
      </w:r>
    </w:p>
    <w:p w:rsidR="00000000" w:rsidRDefault="00870CF7">
      <w:pPr>
        <w:numPr>
          <w:ilvl w:val="0"/>
          <w:numId w:val="3"/>
        </w:numPr>
      </w:pPr>
      <w:r>
        <w:t xml:space="preserve">the valuation of inventories is based on the </w:t>
      </w:r>
      <w:r>
        <w:t>‘</w:t>
      </w:r>
      <w:r>
        <w:t>lower</w:t>
      </w:r>
      <w:r>
        <w:t xml:space="preserve"> of cost or market value</w:t>
      </w:r>
      <w:r>
        <w:t>’ rule</w:t>
      </w:r>
    </w:p>
    <w:p w:rsidR="00000000" w:rsidRDefault="00870CF7">
      <w:pPr>
        <w:numPr>
          <w:ilvl w:val="0"/>
          <w:numId w:val="3"/>
        </w:numPr>
      </w:pPr>
      <w:r>
        <w:t>‘</w:t>
      </w:r>
      <w:r>
        <w:t>Cost</w:t>
      </w:r>
      <w:r>
        <w:t>’</w:t>
      </w:r>
      <w:r>
        <w:t xml:space="preserve"> is usually defined as direct manufacturing cost plus a share of manufacturing overhead. Period costs </w:t>
      </w:r>
      <w:r>
        <w:t>(like administration ov</w:t>
      </w:r>
      <w:r>
        <w:t xml:space="preserve">erhead) </w:t>
      </w:r>
      <w:r>
        <w:t xml:space="preserve">are not normally allocated </w:t>
      </w:r>
      <w:r>
        <w:t>to inventory.</w:t>
      </w:r>
    </w:p>
    <w:p w:rsidR="00000000" w:rsidRDefault="00870CF7">
      <w:pPr>
        <w:numPr>
          <w:ilvl w:val="0"/>
          <w:numId w:val="3"/>
        </w:numPr>
      </w:pPr>
      <w:r>
        <w:t xml:space="preserve">the level of reported </w:t>
      </w:r>
      <w:r>
        <w:t>profit</w:t>
      </w:r>
      <w:r>
        <w:t xml:space="preserve"> can be influenced by changing the basis of </w:t>
      </w:r>
      <w:r>
        <w:t>valuation for inventories</w:t>
      </w:r>
    </w:p>
    <w:p w:rsidR="00000000" w:rsidRDefault="00870CF7"/>
    <w:p w:rsidR="00000000" w:rsidRDefault="00870CF7">
      <w:pPr>
        <w:numPr>
          <w:ilvl w:val="0"/>
          <w:numId w:val="7"/>
        </w:numPr>
      </w:pPr>
      <w:r>
        <w:t>Debtors</w:t>
      </w:r>
      <w:r>
        <w:t xml:space="preserve"> </w:t>
      </w:r>
      <w:r>
        <w:t>–</w:t>
      </w:r>
      <w:r>
        <w:t xml:space="preserve"> due </w:t>
      </w:r>
      <w:r>
        <w:t>to the convention of conservatism, accountants want to write some debt off as being unrecoverable. Rather than writing debt off in the period in which it becomes unrecoverable (matching convention doesn</w:t>
      </w:r>
      <w:r>
        <w:t>’t allow for this), accountants</w:t>
      </w:r>
      <w:r>
        <w:t xml:space="preserve"> </w:t>
      </w:r>
      <w:r>
        <w:t>make a pro</w:t>
      </w:r>
      <w:r>
        <w:t>visio</w:t>
      </w:r>
      <w:r>
        <w:t>n for bad dents during each period.</w:t>
      </w:r>
    </w:p>
    <w:p w:rsidR="00000000" w:rsidRDefault="00870CF7">
      <w:r>
        <w:t>The P&amp;L is charged with an initial provision, in suc</w:t>
      </w:r>
      <w:r>
        <w:t>c</w:t>
      </w:r>
      <w:r>
        <w:t xml:space="preserve">eeding </w:t>
      </w:r>
      <w:r>
        <w:t xml:space="preserve">periods, only the incremental </w:t>
      </w:r>
      <w:r>
        <w:t xml:space="preserve">adjustment is entered into the P&amp;L account. </w:t>
      </w:r>
      <w:r>
        <w:t xml:space="preserve"> Note: the provision is then subtracted from the debtors figure in</w:t>
      </w:r>
      <w:r>
        <w:t xml:space="preserve"> the balance sheet.</w:t>
      </w:r>
    </w:p>
    <w:p w:rsidR="00000000" w:rsidRDefault="00870CF7"/>
    <w:p w:rsidR="00000000" w:rsidRDefault="00870CF7"/>
    <w:p w:rsidR="00000000" w:rsidRDefault="00870CF7">
      <w:r>
        <w:t>Bad debt provision is based upon:</w:t>
      </w:r>
    </w:p>
    <w:p w:rsidR="00000000" w:rsidRDefault="00870CF7">
      <w:pPr>
        <w:numPr>
          <w:ilvl w:val="0"/>
          <w:numId w:val="8"/>
        </w:numPr>
      </w:pPr>
      <w:r>
        <w:t>the risks attached to each particular customer</w:t>
      </w:r>
    </w:p>
    <w:p w:rsidR="00000000" w:rsidRDefault="00870CF7">
      <w:pPr>
        <w:numPr>
          <w:ilvl w:val="0"/>
          <w:numId w:val="8"/>
        </w:numPr>
      </w:pPr>
      <w:r>
        <w:t xml:space="preserve">the severity with which the </w:t>
      </w:r>
      <w:r>
        <w:t>company</w:t>
      </w:r>
      <w:r>
        <w:t xml:space="preserve"> </w:t>
      </w:r>
      <w:r>
        <w:t>will pursue recalcitrant debtors</w:t>
      </w:r>
    </w:p>
    <w:p w:rsidR="00000000" w:rsidRDefault="00870CF7">
      <w:pPr>
        <w:numPr>
          <w:ilvl w:val="0"/>
          <w:numId w:val="8"/>
        </w:numPr>
      </w:pPr>
      <w:r>
        <w:t>the general economic environment e.g. interest rate changes</w:t>
      </w:r>
    </w:p>
    <w:p w:rsidR="00000000" w:rsidRDefault="00870CF7"/>
    <w:p w:rsidR="00000000" w:rsidRDefault="00870CF7">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00000">
        <w:tblPrEx>
          <w:tblCellMar>
            <w:top w:w="0" w:type="dxa"/>
            <w:bottom w:w="0" w:type="dxa"/>
          </w:tblCellMar>
        </w:tblPrEx>
        <w:tc>
          <w:tcPr>
            <w:tcW w:w="2394" w:type="dxa"/>
          </w:tcPr>
          <w:p w:rsidR="00000000" w:rsidRDefault="00870CF7">
            <w:pPr>
              <w:pStyle w:val="Heading1"/>
            </w:pPr>
            <w:r>
              <w:t>Year One Debtors</w:t>
            </w:r>
          </w:p>
        </w:tc>
        <w:tc>
          <w:tcPr>
            <w:tcW w:w="2394" w:type="dxa"/>
          </w:tcPr>
          <w:p w:rsidR="00000000" w:rsidRDefault="00870CF7">
            <w:r>
              <w:t>100</w:t>
            </w:r>
            <w:r>
              <w:t>,</w:t>
            </w:r>
            <w:r>
              <w:t>00</w:t>
            </w:r>
            <w:r>
              <w:t>0</w:t>
            </w:r>
          </w:p>
        </w:tc>
        <w:tc>
          <w:tcPr>
            <w:tcW w:w="2394" w:type="dxa"/>
          </w:tcPr>
          <w:p w:rsidR="00000000" w:rsidRDefault="00870CF7">
            <w:pPr>
              <w:pStyle w:val="Heading1"/>
            </w:pPr>
            <w:r>
              <w:t>Year Two</w:t>
            </w:r>
            <w:r>
              <w:t xml:space="preserve"> Debtors</w:t>
            </w:r>
          </w:p>
        </w:tc>
        <w:tc>
          <w:tcPr>
            <w:tcW w:w="2394" w:type="dxa"/>
          </w:tcPr>
          <w:p w:rsidR="00000000" w:rsidRDefault="00870CF7">
            <w:r>
              <w:t>12</w:t>
            </w:r>
            <w:r>
              <w:t>2</w:t>
            </w:r>
            <w:r>
              <w:t>,000</w:t>
            </w:r>
          </w:p>
        </w:tc>
      </w:tr>
      <w:tr w:rsidR="00000000">
        <w:tblPrEx>
          <w:tblCellMar>
            <w:top w:w="0" w:type="dxa"/>
            <w:bottom w:w="0" w:type="dxa"/>
          </w:tblCellMar>
        </w:tblPrEx>
        <w:tc>
          <w:tcPr>
            <w:tcW w:w="2394" w:type="dxa"/>
          </w:tcPr>
          <w:p w:rsidR="00000000" w:rsidRDefault="00870CF7">
            <w:r>
              <w:t xml:space="preserve">Policy: </w:t>
            </w:r>
            <w:r>
              <w:t xml:space="preserve">bad debts provision set at </w:t>
            </w:r>
            <w:r>
              <w:t xml:space="preserve">5% </w:t>
            </w:r>
          </w:p>
        </w:tc>
        <w:tc>
          <w:tcPr>
            <w:tcW w:w="2394" w:type="dxa"/>
          </w:tcPr>
          <w:p w:rsidR="00000000" w:rsidRDefault="00870CF7"/>
        </w:tc>
        <w:tc>
          <w:tcPr>
            <w:tcW w:w="2394" w:type="dxa"/>
          </w:tcPr>
          <w:p w:rsidR="00000000" w:rsidRDefault="00870CF7">
            <w:r>
              <w:t>Same policy</w:t>
            </w:r>
          </w:p>
        </w:tc>
        <w:tc>
          <w:tcPr>
            <w:tcW w:w="2394" w:type="dxa"/>
          </w:tcPr>
          <w:p w:rsidR="00000000" w:rsidRDefault="00870CF7"/>
        </w:tc>
      </w:tr>
      <w:tr w:rsidR="00000000">
        <w:tblPrEx>
          <w:tblCellMar>
            <w:top w:w="0" w:type="dxa"/>
            <w:bottom w:w="0" w:type="dxa"/>
          </w:tblCellMar>
        </w:tblPrEx>
        <w:tc>
          <w:tcPr>
            <w:tcW w:w="2394" w:type="dxa"/>
          </w:tcPr>
          <w:p w:rsidR="00000000" w:rsidRDefault="00870CF7"/>
        </w:tc>
        <w:tc>
          <w:tcPr>
            <w:tcW w:w="2394" w:type="dxa"/>
          </w:tcPr>
          <w:p w:rsidR="00000000" w:rsidRDefault="00870CF7"/>
        </w:tc>
        <w:tc>
          <w:tcPr>
            <w:tcW w:w="2394" w:type="dxa"/>
          </w:tcPr>
          <w:p w:rsidR="00000000" w:rsidRDefault="00870CF7">
            <w:r>
              <w:t xml:space="preserve">Specific bad debt arising </w:t>
            </w:r>
            <w:r>
              <w:t>in Year 2 to be written off</w:t>
            </w:r>
          </w:p>
        </w:tc>
        <w:tc>
          <w:tcPr>
            <w:tcW w:w="2394" w:type="dxa"/>
          </w:tcPr>
          <w:p w:rsidR="00000000" w:rsidRDefault="00870CF7">
            <w:r>
              <w:t>2,000</w:t>
            </w:r>
          </w:p>
        </w:tc>
      </w:tr>
      <w:tr w:rsidR="00000000">
        <w:tblPrEx>
          <w:tblCellMar>
            <w:top w:w="0" w:type="dxa"/>
            <w:bottom w:w="0" w:type="dxa"/>
          </w:tblCellMar>
        </w:tblPrEx>
        <w:tc>
          <w:tcPr>
            <w:tcW w:w="2394" w:type="dxa"/>
          </w:tcPr>
          <w:p w:rsidR="00000000" w:rsidRDefault="00870CF7">
            <w:pPr>
              <w:pStyle w:val="Heading1"/>
            </w:pPr>
            <w:r>
              <w:t>Entry in P&amp;L</w:t>
            </w:r>
          </w:p>
        </w:tc>
        <w:tc>
          <w:tcPr>
            <w:tcW w:w="2394" w:type="dxa"/>
          </w:tcPr>
          <w:p w:rsidR="00000000" w:rsidRDefault="00870CF7"/>
        </w:tc>
        <w:tc>
          <w:tcPr>
            <w:tcW w:w="2394" w:type="dxa"/>
          </w:tcPr>
          <w:p w:rsidR="00000000" w:rsidRDefault="00870CF7">
            <w:pPr>
              <w:pStyle w:val="Heading1"/>
            </w:pPr>
            <w:r>
              <w:t>Entry in P&amp;L</w:t>
            </w:r>
          </w:p>
        </w:tc>
        <w:tc>
          <w:tcPr>
            <w:tcW w:w="2394" w:type="dxa"/>
          </w:tcPr>
          <w:p w:rsidR="00000000" w:rsidRDefault="00870CF7"/>
        </w:tc>
      </w:tr>
      <w:tr w:rsidR="00000000">
        <w:tblPrEx>
          <w:tblCellMar>
            <w:top w:w="0" w:type="dxa"/>
            <w:bottom w:w="0" w:type="dxa"/>
          </w:tblCellMar>
        </w:tblPrEx>
        <w:tc>
          <w:tcPr>
            <w:tcW w:w="2394" w:type="dxa"/>
          </w:tcPr>
          <w:p w:rsidR="00000000" w:rsidRDefault="00870CF7">
            <w:r>
              <w:t>Charge for bad debts provision</w:t>
            </w:r>
          </w:p>
        </w:tc>
        <w:tc>
          <w:tcPr>
            <w:tcW w:w="2394" w:type="dxa"/>
          </w:tcPr>
          <w:p w:rsidR="00000000" w:rsidRDefault="00870CF7">
            <w:r>
              <w:t>5000</w:t>
            </w:r>
          </w:p>
        </w:tc>
        <w:tc>
          <w:tcPr>
            <w:tcW w:w="2394" w:type="dxa"/>
          </w:tcPr>
          <w:p w:rsidR="00000000" w:rsidRDefault="00870CF7">
            <w:r>
              <w:t>Bad debt written off</w:t>
            </w:r>
          </w:p>
        </w:tc>
        <w:tc>
          <w:tcPr>
            <w:tcW w:w="2394" w:type="dxa"/>
          </w:tcPr>
          <w:p w:rsidR="00000000" w:rsidRDefault="00870CF7">
            <w:r>
              <w:t>2,000</w:t>
            </w:r>
          </w:p>
        </w:tc>
      </w:tr>
      <w:tr w:rsidR="00000000">
        <w:tblPrEx>
          <w:tblCellMar>
            <w:top w:w="0" w:type="dxa"/>
            <w:bottom w:w="0" w:type="dxa"/>
          </w:tblCellMar>
        </w:tblPrEx>
        <w:tc>
          <w:tcPr>
            <w:tcW w:w="2394" w:type="dxa"/>
          </w:tcPr>
          <w:p w:rsidR="00000000" w:rsidRDefault="00870CF7"/>
        </w:tc>
        <w:tc>
          <w:tcPr>
            <w:tcW w:w="2394" w:type="dxa"/>
          </w:tcPr>
          <w:p w:rsidR="00000000" w:rsidRDefault="00870CF7"/>
        </w:tc>
        <w:tc>
          <w:tcPr>
            <w:tcW w:w="2394" w:type="dxa"/>
          </w:tcPr>
          <w:p w:rsidR="00000000" w:rsidRDefault="00870CF7">
            <w:r>
              <w:t>Top Up p</w:t>
            </w:r>
            <w:r>
              <w:t xml:space="preserve">rovision to </w:t>
            </w:r>
            <w:r>
              <w:t>5%</w:t>
            </w:r>
            <w:r>
              <w:t xml:space="preserve"> (</w:t>
            </w:r>
            <w:r>
              <w:t>5%</w:t>
            </w:r>
            <w:r>
              <w:t xml:space="preserve"> of 12</w:t>
            </w:r>
            <w:r>
              <w:t>0</w:t>
            </w:r>
            <w:r>
              <w:t xml:space="preserve">K </w:t>
            </w:r>
            <w:r>
              <w:t>–</w:t>
            </w:r>
            <w:r>
              <w:t xml:space="preserve"> 5000</w:t>
            </w:r>
            <w:r>
              <w:t xml:space="preserve">, its 120K because 122k </w:t>
            </w:r>
            <w:r>
              <w:t xml:space="preserve">minus </w:t>
            </w:r>
            <w:r>
              <w:t>2k</w:t>
            </w:r>
            <w:r>
              <w:t xml:space="preserve"> bad debts</w:t>
            </w:r>
            <w:r>
              <w:t>)</w:t>
            </w:r>
          </w:p>
        </w:tc>
        <w:tc>
          <w:tcPr>
            <w:tcW w:w="2394" w:type="dxa"/>
          </w:tcPr>
          <w:p w:rsidR="00000000" w:rsidRDefault="00870CF7">
            <w:r>
              <w:t>1000</w:t>
            </w:r>
          </w:p>
        </w:tc>
      </w:tr>
      <w:tr w:rsidR="00000000">
        <w:tblPrEx>
          <w:tblCellMar>
            <w:top w:w="0" w:type="dxa"/>
            <w:bottom w:w="0" w:type="dxa"/>
          </w:tblCellMar>
        </w:tblPrEx>
        <w:tc>
          <w:tcPr>
            <w:tcW w:w="2394" w:type="dxa"/>
          </w:tcPr>
          <w:p w:rsidR="00000000" w:rsidRDefault="00870CF7">
            <w:pPr>
              <w:pStyle w:val="Heading1"/>
            </w:pPr>
          </w:p>
        </w:tc>
        <w:tc>
          <w:tcPr>
            <w:tcW w:w="2394" w:type="dxa"/>
          </w:tcPr>
          <w:p w:rsidR="00000000" w:rsidRDefault="00870CF7"/>
        </w:tc>
        <w:tc>
          <w:tcPr>
            <w:tcW w:w="2394" w:type="dxa"/>
          </w:tcPr>
          <w:p w:rsidR="00000000" w:rsidRDefault="00870CF7"/>
        </w:tc>
        <w:tc>
          <w:tcPr>
            <w:tcW w:w="2394" w:type="dxa"/>
          </w:tcPr>
          <w:p w:rsidR="00000000" w:rsidRDefault="00870CF7"/>
        </w:tc>
      </w:tr>
      <w:tr w:rsidR="00000000">
        <w:tblPrEx>
          <w:tblCellMar>
            <w:top w:w="0" w:type="dxa"/>
            <w:bottom w:w="0" w:type="dxa"/>
          </w:tblCellMar>
        </w:tblPrEx>
        <w:tc>
          <w:tcPr>
            <w:tcW w:w="2394" w:type="dxa"/>
          </w:tcPr>
          <w:p w:rsidR="00000000" w:rsidRDefault="00870CF7">
            <w:pPr>
              <w:pStyle w:val="Heading1"/>
            </w:pPr>
            <w:r>
              <w:t>Entry in balance sheet</w:t>
            </w:r>
          </w:p>
        </w:tc>
        <w:tc>
          <w:tcPr>
            <w:tcW w:w="2394" w:type="dxa"/>
          </w:tcPr>
          <w:p w:rsidR="00000000" w:rsidRDefault="00870CF7"/>
        </w:tc>
        <w:tc>
          <w:tcPr>
            <w:tcW w:w="2394" w:type="dxa"/>
          </w:tcPr>
          <w:p w:rsidR="00000000" w:rsidRDefault="00870CF7">
            <w:pPr>
              <w:pStyle w:val="Heading1"/>
            </w:pPr>
            <w:r>
              <w:t>Entry in Balance Sheet</w:t>
            </w:r>
          </w:p>
        </w:tc>
        <w:tc>
          <w:tcPr>
            <w:tcW w:w="2394" w:type="dxa"/>
          </w:tcPr>
          <w:p w:rsidR="00000000" w:rsidRDefault="00870CF7"/>
        </w:tc>
      </w:tr>
      <w:tr w:rsidR="00000000">
        <w:tblPrEx>
          <w:tblCellMar>
            <w:top w:w="0" w:type="dxa"/>
            <w:bottom w:w="0" w:type="dxa"/>
          </w:tblCellMar>
        </w:tblPrEx>
        <w:tc>
          <w:tcPr>
            <w:tcW w:w="2394" w:type="dxa"/>
          </w:tcPr>
          <w:p w:rsidR="00000000" w:rsidRDefault="00870CF7">
            <w:r>
              <w:t>Debtor</w:t>
            </w:r>
            <w:r>
              <w:t>s less provision</w:t>
            </w:r>
          </w:p>
        </w:tc>
        <w:tc>
          <w:tcPr>
            <w:tcW w:w="2394" w:type="dxa"/>
          </w:tcPr>
          <w:p w:rsidR="00000000" w:rsidRDefault="00870CF7">
            <w:r>
              <w:t>95,000</w:t>
            </w:r>
          </w:p>
        </w:tc>
        <w:tc>
          <w:tcPr>
            <w:tcW w:w="2394" w:type="dxa"/>
          </w:tcPr>
          <w:p w:rsidR="00000000" w:rsidRDefault="00870CF7">
            <w:r>
              <w:t>Debtors</w:t>
            </w:r>
          </w:p>
        </w:tc>
        <w:tc>
          <w:tcPr>
            <w:tcW w:w="2394" w:type="dxa"/>
          </w:tcPr>
          <w:p w:rsidR="00000000" w:rsidRDefault="00870CF7">
            <w:r>
              <w:t>$</w:t>
            </w:r>
            <w:r>
              <w:t>120</w:t>
            </w:r>
            <w:r>
              <w:t>,000</w:t>
            </w:r>
          </w:p>
        </w:tc>
      </w:tr>
      <w:tr w:rsidR="00000000">
        <w:tblPrEx>
          <w:tblCellMar>
            <w:top w:w="0" w:type="dxa"/>
            <w:bottom w:w="0" w:type="dxa"/>
          </w:tblCellMar>
        </w:tblPrEx>
        <w:tc>
          <w:tcPr>
            <w:tcW w:w="2394" w:type="dxa"/>
          </w:tcPr>
          <w:p w:rsidR="00000000" w:rsidRDefault="00870CF7"/>
        </w:tc>
        <w:tc>
          <w:tcPr>
            <w:tcW w:w="2394" w:type="dxa"/>
          </w:tcPr>
          <w:p w:rsidR="00000000" w:rsidRDefault="00870CF7"/>
        </w:tc>
        <w:tc>
          <w:tcPr>
            <w:tcW w:w="2394" w:type="dxa"/>
          </w:tcPr>
          <w:p w:rsidR="00000000" w:rsidRDefault="00870CF7">
            <w:r>
              <w:t>Less Provision ($6000)</w:t>
            </w:r>
          </w:p>
        </w:tc>
        <w:tc>
          <w:tcPr>
            <w:tcW w:w="2394" w:type="dxa"/>
          </w:tcPr>
          <w:p w:rsidR="00000000" w:rsidRDefault="00870CF7">
            <w:r>
              <w:t>$114,000</w:t>
            </w:r>
          </w:p>
        </w:tc>
      </w:tr>
    </w:tbl>
    <w:p w:rsidR="00000000" w:rsidRDefault="00870CF7">
      <w:r>
        <w:t xml:space="preserve"> </w:t>
      </w:r>
    </w:p>
    <w:p w:rsidR="00000000" w:rsidRDefault="00870CF7"/>
    <w:p w:rsidR="00000000" w:rsidRDefault="00870CF7">
      <w:pPr>
        <w:numPr>
          <w:ilvl w:val="0"/>
          <w:numId w:val="9"/>
        </w:numPr>
      </w:pPr>
      <w:r>
        <w:t>Cash</w:t>
      </w:r>
      <w:r>
        <w:t xml:space="preserve"> </w:t>
      </w:r>
      <w:r>
        <w:t>–</w:t>
      </w:r>
      <w:r>
        <w:t xml:space="preserve"> obviously </w:t>
      </w:r>
      <w:r>
        <w:t xml:space="preserve">handy to have </w:t>
      </w:r>
    </w:p>
    <w:p w:rsidR="00000000" w:rsidRDefault="00870CF7"/>
    <w:p w:rsidR="00000000" w:rsidRDefault="00870CF7">
      <w:pPr>
        <w:rPr>
          <w:b/>
        </w:rPr>
      </w:pPr>
      <w:r>
        <w:rPr>
          <w:b/>
        </w:rPr>
        <w:t>3.5 Current Liabilities</w:t>
      </w:r>
    </w:p>
    <w:p w:rsidR="00000000" w:rsidRDefault="00870CF7">
      <w:r>
        <w:t>These are those debts that the compa</w:t>
      </w:r>
      <w:r>
        <w:t>ny expects to pay in the next 12 months. Examples include creditors, bank overdraft, taxes payable</w:t>
      </w:r>
      <w:r>
        <w:t xml:space="preserve"> on previously recorded prof</w:t>
      </w:r>
      <w:r>
        <w:t>its</w:t>
      </w:r>
      <w:r>
        <w:t>, dividends payable</w:t>
      </w:r>
      <w:r>
        <w:t xml:space="preserve"> </w:t>
      </w:r>
      <w:r>
        <w:t>on previously recorded prof</w:t>
      </w:r>
      <w:r>
        <w:t>its</w:t>
      </w:r>
      <w:r>
        <w:t>,</w:t>
      </w:r>
      <w:r>
        <w:t xml:space="preserve"> accruals and deferred revenue</w:t>
      </w:r>
      <w:r>
        <w:t xml:space="preserve"> (revenue received by the </w:t>
      </w:r>
      <w:r>
        <w:t>company</w:t>
      </w:r>
      <w:r>
        <w:t xml:space="preserve"> </w:t>
      </w:r>
      <w:r>
        <w:t>in advance o</w:t>
      </w:r>
      <w:r>
        <w:t xml:space="preserve">f </w:t>
      </w:r>
      <w:r>
        <w:t>providing the goods or service)</w:t>
      </w:r>
      <w:r>
        <w:t>.</w:t>
      </w:r>
    </w:p>
    <w:p w:rsidR="00000000" w:rsidRDefault="00870CF7">
      <w:r>
        <w:t xml:space="preserve">Example: One year </w:t>
      </w:r>
      <w:r>
        <w:t>subscription</w:t>
      </w:r>
      <w:r>
        <w:t xml:space="preserve"> = $75, Three year = $</w:t>
      </w:r>
      <w:r>
        <w:t xml:space="preserve"> </w:t>
      </w:r>
      <w:r>
        <w:t>210. In 1996 there were 3000 one year and 2000 three year subscriptions: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00000">
        <w:tblPrEx>
          <w:tblCellMar>
            <w:top w:w="0" w:type="dxa"/>
            <w:bottom w:w="0" w:type="dxa"/>
          </w:tblCellMar>
        </w:tblPrEx>
        <w:tc>
          <w:tcPr>
            <w:tcW w:w="2394" w:type="dxa"/>
          </w:tcPr>
          <w:p w:rsidR="00000000" w:rsidRDefault="00870CF7">
            <w:pPr>
              <w:pStyle w:val="Heading1"/>
            </w:pPr>
            <w:r>
              <w:t>Balance Sheets</w:t>
            </w:r>
          </w:p>
        </w:tc>
        <w:tc>
          <w:tcPr>
            <w:tcW w:w="2394" w:type="dxa"/>
          </w:tcPr>
          <w:p w:rsidR="00000000" w:rsidRDefault="00870CF7">
            <w:pPr>
              <w:jc w:val="center"/>
              <w:rPr>
                <w:b/>
              </w:rPr>
            </w:pPr>
            <w:r>
              <w:rPr>
                <w:b/>
              </w:rPr>
              <w:t>1996</w:t>
            </w:r>
          </w:p>
        </w:tc>
        <w:tc>
          <w:tcPr>
            <w:tcW w:w="2394" w:type="dxa"/>
          </w:tcPr>
          <w:p w:rsidR="00000000" w:rsidRDefault="00870CF7">
            <w:pPr>
              <w:jc w:val="center"/>
              <w:rPr>
                <w:b/>
              </w:rPr>
            </w:pPr>
            <w:r>
              <w:rPr>
                <w:b/>
              </w:rPr>
              <w:t>1997</w:t>
            </w:r>
          </w:p>
        </w:tc>
        <w:tc>
          <w:tcPr>
            <w:tcW w:w="2394" w:type="dxa"/>
          </w:tcPr>
          <w:p w:rsidR="00000000" w:rsidRDefault="00870CF7">
            <w:pPr>
              <w:jc w:val="center"/>
              <w:rPr>
                <w:b/>
              </w:rPr>
            </w:pPr>
            <w:r>
              <w:rPr>
                <w:b/>
              </w:rPr>
              <w:t>1998</w:t>
            </w:r>
          </w:p>
        </w:tc>
      </w:tr>
      <w:tr w:rsidR="00000000">
        <w:tblPrEx>
          <w:tblCellMar>
            <w:top w:w="0" w:type="dxa"/>
            <w:bottom w:w="0" w:type="dxa"/>
          </w:tblCellMar>
        </w:tblPrEx>
        <w:tc>
          <w:tcPr>
            <w:tcW w:w="2394" w:type="dxa"/>
          </w:tcPr>
          <w:p w:rsidR="00000000" w:rsidRDefault="00870CF7">
            <w:r>
              <w:t>C</w:t>
            </w:r>
            <w:r>
              <w:t xml:space="preserve">ash </w:t>
            </w:r>
          </w:p>
        </w:tc>
        <w:tc>
          <w:tcPr>
            <w:tcW w:w="2394" w:type="dxa"/>
          </w:tcPr>
          <w:p w:rsidR="00000000" w:rsidRDefault="00870CF7">
            <w:pPr>
              <w:jc w:val="center"/>
            </w:pPr>
            <w:r>
              <w:t>645000</w:t>
            </w:r>
          </w:p>
        </w:tc>
        <w:tc>
          <w:tcPr>
            <w:tcW w:w="2394" w:type="dxa"/>
          </w:tcPr>
          <w:p w:rsidR="00000000" w:rsidRDefault="00870CF7">
            <w:pPr>
              <w:jc w:val="center"/>
            </w:pPr>
            <w:r>
              <w:t>-</w:t>
            </w:r>
          </w:p>
        </w:tc>
        <w:tc>
          <w:tcPr>
            <w:tcW w:w="2394" w:type="dxa"/>
          </w:tcPr>
          <w:p w:rsidR="00000000" w:rsidRDefault="00870CF7">
            <w:pPr>
              <w:jc w:val="center"/>
            </w:pPr>
            <w:r>
              <w:t>-</w:t>
            </w:r>
          </w:p>
        </w:tc>
      </w:tr>
      <w:tr w:rsidR="00000000">
        <w:tblPrEx>
          <w:tblCellMar>
            <w:top w:w="0" w:type="dxa"/>
            <w:bottom w:w="0" w:type="dxa"/>
          </w:tblCellMar>
        </w:tblPrEx>
        <w:tc>
          <w:tcPr>
            <w:tcW w:w="2394" w:type="dxa"/>
          </w:tcPr>
          <w:p w:rsidR="00000000" w:rsidRDefault="00870CF7">
            <w:r>
              <w:t>Owners Equity</w:t>
            </w:r>
          </w:p>
        </w:tc>
        <w:tc>
          <w:tcPr>
            <w:tcW w:w="2394" w:type="dxa"/>
          </w:tcPr>
          <w:p w:rsidR="00000000" w:rsidRDefault="00870CF7">
            <w:pPr>
              <w:jc w:val="center"/>
            </w:pPr>
            <w:r>
              <w:t>$X</w:t>
            </w:r>
          </w:p>
        </w:tc>
        <w:tc>
          <w:tcPr>
            <w:tcW w:w="2394" w:type="dxa"/>
          </w:tcPr>
          <w:p w:rsidR="00000000" w:rsidRDefault="00870CF7">
            <w:pPr>
              <w:jc w:val="center"/>
            </w:pPr>
            <w:r>
              <w:t>$X</w:t>
            </w:r>
          </w:p>
        </w:tc>
        <w:tc>
          <w:tcPr>
            <w:tcW w:w="2394" w:type="dxa"/>
          </w:tcPr>
          <w:p w:rsidR="00000000" w:rsidRDefault="00870CF7">
            <w:pPr>
              <w:jc w:val="center"/>
            </w:pPr>
            <w:r>
              <w:t>$X</w:t>
            </w:r>
          </w:p>
        </w:tc>
      </w:tr>
      <w:tr w:rsidR="00000000">
        <w:tblPrEx>
          <w:tblCellMar>
            <w:top w:w="0" w:type="dxa"/>
            <w:bottom w:w="0" w:type="dxa"/>
          </w:tblCellMar>
        </w:tblPrEx>
        <w:tc>
          <w:tcPr>
            <w:tcW w:w="2394" w:type="dxa"/>
          </w:tcPr>
          <w:p w:rsidR="00000000" w:rsidRDefault="00870CF7">
            <w:r>
              <w:t>Deferred Revenue</w:t>
            </w:r>
          </w:p>
        </w:tc>
        <w:tc>
          <w:tcPr>
            <w:tcW w:w="2394" w:type="dxa"/>
          </w:tcPr>
          <w:p w:rsidR="00000000" w:rsidRDefault="00870CF7">
            <w:pPr>
              <w:jc w:val="center"/>
            </w:pPr>
            <w:r>
              <w:t>280,0</w:t>
            </w:r>
            <w:r>
              <w:t>00</w:t>
            </w:r>
          </w:p>
        </w:tc>
        <w:tc>
          <w:tcPr>
            <w:tcW w:w="2394" w:type="dxa"/>
          </w:tcPr>
          <w:p w:rsidR="00000000" w:rsidRDefault="00870CF7">
            <w:pPr>
              <w:jc w:val="center"/>
            </w:pPr>
            <w:r>
              <w:t>140,000</w:t>
            </w:r>
          </w:p>
        </w:tc>
        <w:tc>
          <w:tcPr>
            <w:tcW w:w="2394" w:type="dxa"/>
          </w:tcPr>
          <w:p w:rsidR="00000000" w:rsidRDefault="00870CF7">
            <w:pPr>
              <w:jc w:val="center"/>
            </w:pPr>
            <w:r>
              <w:t>-</w:t>
            </w:r>
          </w:p>
        </w:tc>
      </w:tr>
      <w:tr w:rsidR="00000000">
        <w:tblPrEx>
          <w:tblCellMar>
            <w:top w:w="0" w:type="dxa"/>
            <w:bottom w:w="0" w:type="dxa"/>
          </w:tblCellMar>
        </w:tblPrEx>
        <w:tc>
          <w:tcPr>
            <w:tcW w:w="2394" w:type="dxa"/>
          </w:tcPr>
          <w:p w:rsidR="00000000" w:rsidRDefault="00870CF7"/>
        </w:tc>
        <w:tc>
          <w:tcPr>
            <w:tcW w:w="2394" w:type="dxa"/>
          </w:tcPr>
          <w:p w:rsidR="00000000" w:rsidRDefault="00870CF7">
            <w:pPr>
              <w:jc w:val="center"/>
            </w:pPr>
          </w:p>
        </w:tc>
        <w:tc>
          <w:tcPr>
            <w:tcW w:w="2394" w:type="dxa"/>
          </w:tcPr>
          <w:p w:rsidR="00000000" w:rsidRDefault="00870CF7">
            <w:pPr>
              <w:jc w:val="center"/>
            </w:pPr>
          </w:p>
        </w:tc>
        <w:tc>
          <w:tcPr>
            <w:tcW w:w="2394" w:type="dxa"/>
          </w:tcPr>
          <w:p w:rsidR="00000000" w:rsidRDefault="00870CF7">
            <w:pPr>
              <w:jc w:val="center"/>
            </w:pPr>
          </w:p>
        </w:tc>
      </w:tr>
      <w:tr w:rsidR="00000000">
        <w:tblPrEx>
          <w:tblCellMar>
            <w:top w:w="0" w:type="dxa"/>
            <w:bottom w:w="0" w:type="dxa"/>
          </w:tblCellMar>
        </w:tblPrEx>
        <w:tc>
          <w:tcPr>
            <w:tcW w:w="2394" w:type="dxa"/>
          </w:tcPr>
          <w:p w:rsidR="00000000" w:rsidRDefault="00870CF7">
            <w:pPr>
              <w:rPr>
                <w:b/>
              </w:rPr>
            </w:pPr>
            <w:r>
              <w:rPr>
                <w:b/>
              </w:rPr>
              <w:t>Profit and Loss Account</w:t>
            </w:r>
          </w:p>
        </w:tc>
        <w:tc>
          <w:tcPr>
            <w:tcW w:w="2394" w:type="dxa"/>
          </w:tcPr>
          <w:p w:rsidR="00000000" w:rsidRDefault="00870CF7">
            <w:pPr>
              <w:jc w:val="center"/>
            </w:pPr>
          </w:p>
        </w:tc>
        <w:tc>
          <w:tcPr>
            <w:tcW w:w="2394" w:type="dxa"/>
          </w:tcPr>
          <w:p w:rsidR="00000000" w:rsidRDefault="00870CF7">
            <w:pPr>
              <w:jc w:val="center"/>
            </w:pPr>
          </w:p>
        </w:tc>
        <w:tc>
          <w:tcPr>
            <w:tcW w:w="2394" w:type="dxa"/>
          </w:tcPr>
          <w:p w:rsidR="00000000" w:rsidRDefault="00870CF7">
            <w:pPr>
              <w:jc w:val="center"/>
            </w:pPr>
          </w:p>
        </w:tc>
      </w:tr>
      <w:tr w:rsidR="00000000">
        <w:tblPrEx>
          <w:tblCellMar>
            <w:top w:w="0" w:type="dxa"/>
            <w:bottom w:w="0" w:type="dxa"/>
          </w:tblCellMar>
        </w:tblPrEx>
        <w:tc>
          <w:tcPr>
            <w:tcW w:w="2394" w:type="dxa"/>
          </w:tcPr>
          <w:p w:rsidR="00000000" w:rsidRDefault="00870CF7">
            <w:r>
              <w:t>Subscription Revenue:</w:t>
            </w:r>
          </w:p>
        </w:tc>
        <w:tc>
          <w:tcPr>
            <w:tcW w:w="2394" w:type="dxa"/>
          </w:tcPr>
          <w:p w:rsidR="00000000" w:rsidRDefault="00870CF7">
            <w:pPr>
              <w:jc w:val="center"/>
            </w:pPr>
          </w:p>
        </w:tc>
        <w:tc>
          <w:tcPr>
            <w:tcW w:w="2394" w:type="dxa"/>
          </w:tcPr>
          <w:p w:rsidR="00000000" w:rsidRDefault="00870CF7">
            <w:pPr>
              <w:jc w:val="center"/>
            </w:pPr>
          </w:p>
        </w:tc>
        <w:tc>
          <w:tcPr>
            <w:tcW w:w="2394" w:type="dxa"/>
          </w:tcPr>
          <w:p w:rsidR="00000000" w:rsidRDefault="00870CF7">
            <w:pPr>
              <w:jc w:val="center"/>
            </w:pPr>
          </w:p>
        </w:tc>
      </w:tr>
      <w:tr w:rsidR="00000000">
        <w:tblPrEx>
          <w:tblCellMar>
            <w:top w:w="0" w:type="dxa"/>
            <w:bottom w:w="0" w:type="dxa"/>
          </w:tblCellMar>
        </w:tblPrEx>
        <w:tc>
          <w:tcPr>
            <w:tcW w:w="2394" w:type="dxa"/>
          </w:tcPr>
          <w:p w:rsidR="00000000" w:rsidRDefault="00870CF7">
            <w:r>
              <w:t>One Year</w:t>
            </w:r>
          </w:p>
        </w:tc>
        <w:tc>
          <w:tcPr>
            <w:tcW w:w="2394" w:type="dxa"/>
          </w:tcPr>
          <w:p w:rsidR="00000000" w:rsidRDefault="00870CF7">
            <w:pPr>
              <w:jc w:val="center"/>
            </w:pPr>
            <w:r>
              <w:t>225,000</w:t>
            </w:r>
          </w:p>
        </w:tc>
        <w:tc>
          <w:tcPr>
            <w:tcW w:w="2394" w:type="dxa"/>
          </w:tcPr>
          <w:p w:rsidR="00000000" w:rsidRDefault="00870CF7">
            <w:pPr>
              <w:jc w:val="center"/>
            </w:pPr>
            <w:r>
              <w:t>-</w:t>
            </w:r>
          </w:p>
        </w:tc>
        <w:tc>
          <w:tcPr>
            <w:tcW w:w="2394" w:type="dxa"/>
          </w:tcPr>
          <w:p w:rsidR="00000000" w:rsidRDefault="00870CF7">
            <w:pPr>
              <w:jc w:val="center"/>
            </w:pPr>
            <w:r>
              <w:t>-</w:t>
            </w:r>
          </w:p>
        </w:tc>
      </w:tr>
      <w:tr w:rsidR="00000000">
        <w:tblPrEx>
          <w:tblCellMar>
            <w:top w:w="0" w:type="dxa"/>
            <w:bottom w:w="0" w:type="dxa"/>
          </w:tblCellMar>
        </w:tblPrEx>
        <w:tc>
          <w:tcPr>
            <w:tcW w:w="2394" w:type="dxa"/>
          </w:tcPr>
          <w:p w:rsidR="00000000" w:rsidRDefault="00870CF7">
            <w:r>
              <w:t>Three Years</w:t>
            </w:r>
          </w:p>
        </w:tc>
        <w:tc>
          <w:tcPr>
            <w:tcW w:w="2394" w:type="dxa"/>
          </w:tcPr>
          <w:p w:rsidR="00000000" w:rsidRDefault="00870CF7">
            <w:pPr>
              <w:jc w:val="center"/>
            </w:pPr>
            <w:r>
              <w:t>140,000</w:t>
            </w:r>
          </w:p>
        </w:tc>
        <w:tc>
          <w:tcPr>
            <w:tcW w:w="2394" w:type="dxa"/>
          </w:tcPr>
          <w:p w:rsidR="00000000" w:rsidRDefault="00870CF7">
            <w:pPr>
              <w:jc w:val="center"/>
            </w:pPr>
            <w:r>
              <w:t>140,000</w:t>
            </w:r>
          </w:p>
        </w:tc>
        <w:tc>
          <w:tcPr>
            <w:tcW w:w="2394" w:type="dxa"/>
          </w:tcPr>
          <w:p w:rsidR="00000000" w:rsidRDefault="00870CF7">
            <w:pPr>
              <w:jc w:val="center"/>
            </w:pPr>
            <w:r>
              <w:t>140,000</w:t>
            </w:r>
          </w:p>
        </w:tc>
      </w:tr>
      <w:tr w:rsidR="00000000">
        <w:tblPrEx>
          <w:tblCellMar>
            <w:top w:w="0" w:type="dxa"/>
            <w:bottom w:w="0" w:type="dxa"/>
          </w:tblCellMar>
        </w:tblPrEx>
        <w:tc>
          <w:tcPr>
            <w:tcW w:w="2394" w:type="dxa"/>
          </w:tcPr>
          <w:p w:rsidR="00000000" w:rsidRDefault="00870CF7">
            <w:r>
              <w:t>Total</w:t>
            </w:r>
          </w:p>
        </w:tc>
        <w:tc>
          <w:tcPr>
            <w:tcW w:w="2394" w:type="dxa"/>
          </w:tcPr>
          <w:p w:rsidR="00000000" w:rsidRDefault="00870CF7">
            <w:pPr>
              <w:jc w:val="center"/>
            </w:pPr>
            <w:r>
              <w:t>365,000</w:t>
            </w:r>
          </w:p>
        </w:tc>
        <w:tc>
          <w:tcPr>
            <w:tcW w:w="2394" w:type="dxa"/>
          </w:tcPr>
          <w:p w:rsidR="00000000" w:rsidRDefault="00870CF7">
            <w:pPr>
              <w:jc w:val="center"/>
            </w:pPr>
            <w:r>
              <w:t>140,000</w:t>
            </w:r>
          </w:p>
        </w:tc>
        <w:tc>
          <w:tcPr>
            <w:tcW w:w="2394" w:type="dxa"/>
          </w:tcPr>
          <w:p w:rsidR="00000000" w:rsidRDefault="00870CF7">
            <w:pPr>
              <w:jc w:val="center"/>
            </w:pPr>
            <w:r>
              <w:t>140,000</w:t>
            </w:r>
          </w:p>
        </w:tc>
      </w:tr>
      <w:tr w:rsidR="00000000">
        <w:tblPrEx>
          <w:tblCellMar>
            <w:top w:w="0" w:type="dxa"/>
            <w:bottom w:w="0" w:type="dxa"/>
          </w:tblCellMar>
        </w:tblPrEx>
        <w:tc>
          <w:tcPr>
            <w:tcW w:w="2394" w:type="dxa"/>
          </w:tcPr>
          <w:p w:rsidR="00000000" w:rsidRDefault="00870CF7"/>
        </w:tc>
        <w:tc>
          <w:tcPr>
            <w:tcW w:w="2394" w:type="dxa"/>
          </w:tcPr>
          <w:p w:rsidR="00000000" w:rsidRDefault="00870CF7">
            <w:pPr>
              <w:jc w:val="center"/>
            </w:pPr>
          </w:p>
        </w:tc>
        <w:tc>
          <w:tcPr>
            <w:tcW w:w="2394" w:type="dxa"/>
          </w:tcPr>
          <w:p w:rsidR="00000000" w:rsidRDefault="00870CF7">
            <w:pPr>
              <w:jc w:val="center"/>
            </w:pPr>
          </w:p>
        </w:tc>
        <w:tc>
          <w:tcPr>
            <w:tcW w:w="2394" w:type="dxa"/>
          </w:tcPr>
          <w:p w:rsidR="00000000" w:rsidRDefault="00870CF7">
            <w:pPr>
              <w:jc w:val="center"/>
            </w:pPr>
          </w:p>
        </w:tc>
      </w:tr>
      <w:tr w:rsidR="00000000">
        <w:tblPrEx>
          <w:tblCellMar>
            <w:top w:w="0" w:type="dxa"/>
            <w:bottom w:w="0" w:type="dxa"/>
          </w:tblCellMar>
        </w:tblPrEx>
        <w:tc>
          <w:tcPr>
            <w:tcW w:w="2394" w:type="dxa"/>
          </w:tcPr>
          <w:p w:rsidR="00000000" w:rsidRDefault="00870CF7"/>
        </w:tc>
        <w:tc>
          <w:tcPr>
            <w:tcW w:w="2394" w:type="dxa"/>
          </w:tcPr>
          <w:p w:rsidR="00000000" w:rsidRDefault="00870CF7">
            <w:pPr>
              <w:jc w:val="center"/>
            </w:pPr>
          </w:p>
        </w:tc>
        <w:tc>
          <w:tcPr>
            <w:tcW w:w="2394" w:type="dxa"/>
          </w:tcPr>
          <w:p w:rsidR="00000000" w:rsidRDefault="00870CF7">
            <w:pPr>
              <w:jc w:val="center"/>
            </w:pPr>
          </w:p>
        </w:tc>
        <w:tc>
          <w:tcPr>
            <w:tcW w:w="2394" w:type="dxa"/>
          </w:tcPr>
          <w:p w:rsidR="00000000" w:rsidRDefault="00870CF7">
            <w:pPr>
              <w:jc w:val="center"/>
            </w:pPr>
          </w:p>
        </w:tc>
      </w:tr>
    </w:tbl>
    <w:p w:rsidR="00000000" w:rsidRDefault="00870CF7"/>
    <w:p w:rsidR="00000000" w:rsidRDefault="00870CF7">
      <w:pPr>
        <w:rPr>
          <w:b/>
        </w:rPr>
      </w:pPr>
      <w:r>
        <w:rPr>
          <w:b/>
        </w:rPr>
        <w:t>3.6 N</w:t>
      </w:r>
      <w:r>
        <w:rPr>
          <w:b/>
        </w:rPr>
        <w:t>et Current Assets and Net Assets</w:t>
      </w:r>
    </w:p>
    <w:p w:rsidR="00000000" w:rsidRDefault="00870CF7">
      <w:r>
        <w:t xml:space="preserve">Net current Assets = Current Assets </w:t>
      </w:r>
      <w:r>
        <w:t>–</w:t>
      </w:r>
      <w:r>
        <w:t xml:space="preserve"> Curren</w:t>
      </w:r>
      <w:r>
        <w:t xml:space="preserve">t </w:t>
      </w:r>
      <w:r>
        <w:t>Liabilities</w:t>
      </w:r>
    </w:p>
    <w:p w:rsidR="00000000" w:rsidRDefault="00870CF7"/>
    <w:p w:rsidR="00000000" w:rsidRDefault="00870CF7">
      <w:pPr>
        <w:rPr>
          <w:b/>
        </w:rPr>
      </w:pPr>
      <w:r>
        <w:rPr>
          <w:b/>
        </w:rPr>
        <w:t xml:space="preserve">3.6.1 </w:t>
      </w:r>
      <w:r>
        <w:rPr>
          <w:b/>
        </w:rPr>
        <w:t>Financing Net Assets</w:t>
      </w:r>
    </w:p>
    <w:p w:rsidR="00000000" w:rsidRDefault="00870CF7">
      <w:r>
        <w:lastRenderedPageBreak/>
        <w:t>Internally generated sources for the acquisition of net assets include</w:t>
      </w:r>
      <w:r>
        <w:t xml:space="preserve"> original equity and oper</w:t>
      </w:r>
      <w:r>
        <w:t>a</w:t>
      </w:r>
      <w:r>
        <w:t>tions wh</w:t>
      </w:r>
      <w:r>
        <w:t>ich produced a profit which was not distributed to the owner. The combined some of these internally gen</w:t>
      </w:r>
      <w:r>
        <w:t xml:space="preserve">erated </w:t>
      </w:r>
      <w:r>
        <w:t>funds is called ownership equity.</w:t>
      </w:r>
    </w:p>
    <w:p w:rsidR="00000000" w:rsidRDefault="00870CF7">
      <w:r>
        <w:t>An external</w:t>
      </w:r>
      <w:r>
        <w:t xml:space="preserve"> source of funds could be a long</w:t>
      </w:r>
      <w:r>
        <w:t xml:space="preserve"> term </w:t>
      </w:r>
      <w:r>
        <w:t xml:space="preserve">loan. </w:t>
      </w:r>
      <w:r>
        <w:t xml:space="preserve">The amount of interest must be charged as an expense against profits before shareholders become </w:t>
      </w:r>
      <w:r>
        <w:t>entitled</w:t>
      </w:r>
      <w:r>
        <w:t xml:space="preserve"> to any dividends</w:t>
      </w:r>
      <w:r>
        <w:t>.</w:t>
      </w:r>
      <w:r>
        <w:t xml:space="preserve"> The relationship between shareholder funding</w:t>
      </w:r>
      <w:r>
        <w:t xml:space="preserve"> </w:t>
      </w:r>
      <w:r>
        <w:t xml:space="preserve">(owners equity) </w:t>
      </w:r>
      <w:r>
        <w:t xml:space="preserve">and </w:t>
      </w:r>
      <w:r>
        <w:t xml:space="preserve">loans is called </w:t>
      </w:r>
      <w:r>
        <w:rPr>
          <w:i/>
        </w:rPr>
        <w:t>gearing</w:t>
      </w:r>
      <w:r>
        <w:t xml:space="preserve"> or </w:t>
      </w:r>
      <w:r>
        <w:rPr>
          <w:i/>
        </w:rPr>
        <w:t>leverage</w:t>
      </w:r>
      <w:r>
        <w:t>.</w:t>
      </w:r>
      <w:r>
        <w:t xml:space="preserve"> </w:t>
      </w:r>
    </w:p>
    <w:p w:rsidR="00000000" w:rsidRDefault="00870CF7">
      <w:r>
        <w:t>Gearing = (Long term Debts/</w:t>
      </w:r>
      <w:r>
        <w:t>Owners</w:t>
      </w:r>
      <w:r>
        <w:t xml:space="preserve"> Equity</w:t>
      </w:r>
      <w:r>
        <w:t>)</w:t>
      </w:r>
    </w:p>
    <w:p w:rsidR="00000000" w:rsidRDefault="00870CF7">
      <w:r>
        <w:t>In years of healthy profits, shareholders receive a better return on their equity with a highly geared company. The opposite is true in years of low profit</w:t>
      </w:r>
      <w:r>
        <w:t>s.</w:t>
      </w:r>
    </w:p>
    <w:p w:rsidR="00000000" w:rsidRDefault="00870CF7">
      <w:r>
        <w:t xml:space="preserve">Return on Owners Equity = (Profit </w:t>
      </w:r>
      <w:r>
        <w:t>after interest on loan/Equity) x</w:t>
      </w:r>
      <w:r>
        <w:t xml:space="preserve"> 1000</w:t>
      </w:r>
    </w:p>
    <w:p w:rsidR="00000000" w:rsidRDefault="00870CF7"/>
    <w:p w:rsidR="00000000" w:rsidRDefault="00870CF7">
      <w:pPr>
        <w:rPr>
          <w:b/>
        </w:rPr>
      </w:pPr>
      <w:r>
        <w:rPr>
          <w:b/>
        </w:rPr>
        <w:t>3.</w:t>
      </w:r>
      <w:r>
        <w:rPr>
          <w:b/>
        </w:rPr>
        <w:t xml:space="preserve">7 </w:t>
      </w:r>
      <w:r>
        <w:rPr>
          <w:b/>
        </w:rPr>
        <w:t>Why does Balance Sheet always balance?</w:t>
      </w:r>
    </w:p>
    <w:p w:rsidR="00000000" w:rsidRDefault="00870CF7">
      <w:r>
        <w:t xml:space="preserve">P&amp;L acts as a </w:t>
      </w:r>
      <w:proofErr w:type="spellStart"/>
      <w:r>
        <w:t>balancer</w:t>
      </w:r>
      <w:proofErr w:type="spellEnd"/>
      <w:r>
        <w:t>.</w:t>
      </w:r>
    </w:p>
    <w:p w:rsidR="00000000" w:rsidRDefault="00870CF7">
      <w:r>
        <w:t>For example: a change from LIFO to FIFO in inflationary times.</w:t>
      </w:r>
    </w:p>
    <w:p w:rsidR="00000000" w:rsidRDefault="00870CF7">
      <w:r>
        <w:t>F</w:t>
      </w:r>
      <w:r>
        <w:t>IFO means</w:t>
      </w:r>
      <w:r>
        <w:t xml:space="preserve"> </w:t>
      </w:r>
      <w:r>
        <w:t>higher</w:t>
      </w:r>
      <w:r>
        <w:t xml:space="preserve"> cost of closing stock</w:t>
      </w:r>
      <w:r>
        <w:t xml:space="preserve"> (first in would be lower price, so closing stock would be made up of higher priced items)</w:t>
      </w:r>
      <w:r>
        <w:t xml:space="preserve">, which means </w:t>
      </w:r>
      <w:r>
        <w:t xml:space="preserve">lower </w:t>
      </w:r>
      <w:r>
        <w:t>cost of sales</w:t>
      </w:r>
      <w:r>
        <w:t xml:space="preserve"> whic</w:t>
      </w:r>
      <w:r>
        <w:t>h means higher gross profit.</w:t>
      </w:r>
    </w:p>
    <w:p w:rsidR="00000000" w:rsidRDefault="00870CF7">
      <w:r>
        <w:t xml:space="preserve">In the balance sheet, this higher profit is reported as an increase in owners equity, but is </w:t>
      </w:r>
      <w:r>
        <w:t xml:space="preserve">balanced </w:t>
      </w:r>
      <w:r>
        <w:t xml:space="preserve">by the </w:t>
      </w:r>
      <w:r>
        <w:t>increase in current assets (higher closing stock valuation).</w:t>
      </w:r>
    </w:p>
    <w:p w:rsidR="00000000" w:rsidRDefault="00870CF7"/>
    <w:p w:rsidR="00000000" w:rsidRDefault="00870CF7"/>
    <w:p w:rsidR="00000000" w:rsidRDefault="00870CF7">
      <w:r>
        <w:t>Review Questions:</w:t>
      </w:r>
    </w:p>
    <w:p w:rsidR="00000000" w:rsidRDefault="00870CF7">
      <w:pPr>
        <w:numPr>
          <w:ilvl w:val="0"/>
          <w:numId w:val="10"/>
        </w:numPr>
      </w:pPr>
      <w:r>
        <w:t>b</w:t>
      </w:r>
    </w:p>
    <w:p w:rsidR="00000000" w:rsidRDefault="00870CF7">
      <w:pPr>
        <w:numPr>
          <w:ilvl w:val="0"/>
          <w:numId w:val="10"/>
        </w:numPr>
      </w:pPr>
      <w:r>
        <w:t>d</w:t>
      </w:r>
    </w:p>
    <w:p w:rsidR="00000000" w:rsidRDefault="00870CF7">
      <w:pPr>
        <w:numPr>
          <w:ilvl w:val="0"/>
          <w:numId w:val="10"/>
        </w:numPr>
      </w:pPr>
      <w:r>
        <w:t>False</w:t>
      </w:r>
    </w:p>
    <w:p w:rsidR="00000000" w:rsidRDefault="00870CF7">
      <w:pPr>
        <w:numPr>
          <w:ilvl w:val="0"/>
          <w:numId w:val="10"/>
        </w:numPr>
      </w:pPr>
      <w:r>
        <w:t>b</w:t>
      </w:r>
    </w:p>
    <w:p w:rsidR="00000000" w:rsidRDefault="00870CF7">
      <w:pPr>
        <w:numPr>
          <w:ilvl w:val="0"/>
          <w:numId w:val="10"/>
        </w:numPr>
      </w:pPr>
      <w:r>
        <w:t>d</w:t>
      </w:r>
    </w:p>
    <w:p w:rsidR="00000000" w:rsidRDefault="00870CF7">
      <w:pPr>
        <w:numPr>
          <w:ilvl w:val="0"/>
          <w:numId w:val="10"/>
        </w:numPr>
      </w:pPr>
      <w:r>
        <w:t>a</w:t>
      </w:r>
    </w:p>
    <w:p w:rsidR="00000000" w:rsidRDefault="00870CF7">
      <w:pPr>
        <w:numPr>
          <w:ilvl w:val="0"/>
          <w:numId w:val="10"/>
        </w:numPr>
      </w:pPr>
      <w:r>
        <w:t>b</w:t>
      </w:r>
    </w:p>
    <w:p w:rsidR="00000000" w:rsidRDefault="00870CF7">
      <w:pPr>
        <w:numPr>
          <w:ilvl w:val="0"/>
          <w:numId w:val="10"/>
        </w:numPr>
      </w:pPr>
      <w:r>
        <w:t>c</w:t>
      </w:r>
    </w:p>
    <w:p w:rsidR="00000000" w:rsidRDefault="00870CF7">
      <w:pPr>
        <w:numPr>
          <w:ilvl w:val="0"/>
          <w:numId w:val="10"/>
        </w:numPr>
      </w:pPr>
      <w:r>
        <w:t>c</w:t>
      </w:r>
    </w:p>
    <w:p w:rsidR="00000000" w:rsidRDefault="00870CF7">
      <w:pPr>
        <w:numPr>
          <w:ilvl w:val="0"/>
          <w:numId w:val="10"/>
        </w:numPr>
      </w:pPr>
      <w:r>
        <w:t>c</w:t>
      </w:r>
    </w:p>
    <w:p w:rsidR="00000000" w:rsidRDefault="00870CF7">
      <w:pPr>
        <w:numPr>
          <w:ilvl w:val="0"/>
          <w:numId w:val="10"/>
        </w:numPr>
      </w:pPr>
      <w:r>
        <w:t>a</w:t>
      </w:r>
    </w:p>
    <w:p w:rsidR="00000000" w:rsidRDefault="00870CF7">
      <w:pPr>
        <w:numPr>
          <w:ilvl w:val="0"/>
          <w:numId w:val="10"/>
        </w:numPr>
      </w:pPr>
      <w:r>
        <w:t>b</w:t>
      </w:r>
    </w:p>
    <w:p w:rsidR="00000000" w:rsidRDefault="00870CF7">
      <w:pPr>
        <w:numPr>
          <w:ilvl w:val="0"/>
          <w:numId w:val="10"/>
        </w:numPr>
      </w:pPr>
      <w:r>
        <w:t>d</w:t>
      </w:r>
    </w:p>
    <w:p w:rsidR="00000000" w:rsidRDefault="00870CF7">
      <w:pPr>
        <w:numPr>
          <w:ilvl w:val="0"/>
          <w:numId w:val="10"/>
        </w:numPr>
      </w:pPr>
      <w:r>
        <w:t>c</w:t>
      </w:r>
    </w:p>
    <w:p w:rsidR="00000000" w:rsidRDefault="00870CF7">
      <w:r>
        <w:t>15.</w:t>
      </w:r>
    </w:p>
    <w:p w:rsidR="00000000" w:rsidRDefault="00870CF7">
      <w:r>
        <w:t xml:space="preserve">1995 </w:t>
      </w:r>
      <w:r>
        <w:t>–</w:t>
      </w:r>
      <w:r>
        <w:t xml:space="preserve"> Debtors:</w:t>
      </w:r>
      <w:r>
        <w:t xml:space="preserve"> 150k, provision = 6</w:t>
      </w:r>
      <w:r>
        <w:t>000</w:t>
      </w:r>
      <w:r>
        <w:t>.</w:t>
      </w:r>
    </w:p>
    <w:p w:rsidR="00000000" w:rsidRDefault="00870CF7">
      <w:r>
        <w:t xml:space="preserve">1996 </w:t>
      </w:r>
      <w:r>
        <w:t>–</w:t>
      </w:r>
      <w:r>
        <w:t xml:space="preserve"> Debtors:</w:t>
      </w:r>
      <w:r>
        <w:t xml:space="preserve"> 180k, </w:t>
      </w:r>
      <w:r>
        <w:t xml:space="preserve">4% </w:t>
      </w:r>
      <w:r>
        <w:t xml:space="preserve">of that </w:t>
      </w:r>
      <w:r>
        <w:t>= 7</w:t>
      </w:r>
      <w:r>
        <w:t>200</w:t>
      </w:r>
      <w:r>
        <w:t xml:space="preserve">, </w:t>
      </w:r>
      <w:r>
        <w:t xml:space="preserve">[Note: it says that bad debts have already been written off during each year </w:t>
      </w:r>
      <w:r>
        <w:t>–</w:t>
      </w:r>
      <w:r>
        <w:t xml:space="preserve"> presume </w:t>
      </w:r>
      <w:r>
        <w:t xml:space="preserve">that is written off </w:t>
      </w:r>
      <w:r>
        <w:t>the</w:t>
      </w:r>
      <w:r>
        <w:t xml:space="preserve"> </w:t>
      </w:r>
      <w:r>
        <w:t>debtors figure]</w:t>
      </w:r>
    </w:p>
    <w:p w:rsidR="00000000" w:rsidRDefault="00870CF7">
      <w:proofErr w:type="spellStart"/>
      <w:r>
        <w:t>Ans</w:t>
      </w:r>
      <w:proofErr w:type="spellEnd"/>
      <w:r>
        <w:t>: a</w:t>
      </w:r>
    </w:p>
    <w:p w:rsidR="00000000" w:rsidRDefault="00870CF7"/>
    <w:p w:rsidR="00000000" w:rsidRDefault="00870CF7">
      <w:r>
        <w:t>16.</w:t>
      </w:r>
      <w:r>
        <w:t>1</w:t>
      </w:r>
      <w:r>
        <w:t xml:space="preserve">997: Debtors = 210k, 4% = 8400, Now </w:t>
      </w:r>
      <w:r>
        <w:t>take away the provision in 1996: 8400</w:t>
      </w:r>
      <w:r>
        <w:t xml:space="preserve"> </w:t>
      </w:r>
      <w:r>
        <w:t>–</w:t>
      </w:r>
      <w:r>
        <w:t xml:space="preserve"> 7200 </w:t>
      </w:r>
      <w:r>
        <w:t>= 1200 top up.</w:t>
      </w:r>
    </w:p>
    <w:p w:rsidR="00000000" w:rsidRDefault="00870CF7">
      <w:r>
        <w:t>5700</w:t>
      </w:r>
      <w:r>
        <w:t xml:space="preserve"> (actual bad debts) </w:t>
      </w:r>
      <w:r>
        <w:t xml:space="preserve">+1200 </w:t>
      </w:r>
      <w:r>
        <w:t xml:space="preserve">(provision for 1998) </w:t>
      </w:r>
      <w:r>
        <w:t xml:space="preserve">= 6900 </w:t>
      </w:r>
      <w:proofErr w:type="spellStart"/>
      <w:r>
        <w:t>Ans</w:t>
      </w:r>
      <w:proofErr w:type="spellEnd"/>
      <w:r>
        <w:t>: b</w:t>
      </w:r>
    </w:p>
    <w:p w:rsidR="00000000" w:rsidRDefault="00870CF7"/>
    <w:p w:rsidR="00000000" w:rsidRDefault="00870CF7">
      <w:r>
        <w:t xml:space="preserve">17. </w:t>
      </w:r>
      <w:r>
        <w:t xml:space="preserve">4% of 210k = 8400, 210k </w:t>
      </w:r>
      <w:r>
        <w:t>–</w:t>
      </w:r>
      <w:r>
        <w:t xml:space="preserve"> 8400</w:t>
      </w:r>
      <w:r>
        <w:t xml:space="preserve"> </w:t>
      </w:r>
      <w:r>
        <w:t>= $</w:t>
      </w:r>
      <w:r>
        <w:t>201</w:t>
      </w:r>
      <w:r>
        <w:t>,</w:t>
      </w:r>
      <w:r>
        <w:t>600</w:t>
      </w:r>
      <w:r>
        <w:t xml:space="preserve"> </w:t>
      </w:r>
      <w:proofErr w:type="spellStart"/>
      <w:r>
        <w:t>Ans</w:t>
      </w:r>
      <w:proofErr w:type="spellEnd"/>
      <w:r>
        <w:t xml:space="preserve">: d </w:t>
      </w:r>
    </w:p>
    <w:p w:rsidR="00000000" w:rsidRDefault="00870CF7">
      <w:r>
        <w:t>Note: in the balance sheet the provision is a straight 4% of debtors, no top</w:t>
      </w:r>
      <w:r>
        <w:t xml:space="preserve"> up bullshit.</w:t>
      </w:r>
    </w:p>
    <w:p w:rsidR="00000000" w:rsidRDefault="00870CF7"/>
    <w:p w:rsidR="00000000" w:rsidRDefault="00870CF7">
      <w:r>
        <w:t>18. b</w:t>
      </w:r>
    </w:p>
    <w:p w:rsidR="00000000" w:rsidRDefault="00870CF7">
      <w:r>
        <w:t xml:space="preserve">19. </w:t>
      </w:r>
      <w:r>
        <w:t>c</w:t>
      </w:r>
    </w:p>
    <w:p w:rsidR="00000000" w:rsidRDefault="00870CF7">
      <w:r>
        <w:t>20. d</w:t>
      </w:r>
      <w:r>
        <w:t xml:space="preserve"> (must include annual lease payments and annual loan stock repayments)</w:t>
      </w:r>
    </w:p>
    <w:p w:rsidR="00000000" w:rsidRDefault="00870CF7">
      <w:r>
        <w:t xml:space="preserve">21. remaining loan stock = 30,000; remaining lease payments = 6000, </w:t>
      </w:r>
      <w:proofErr w:type="spellStart"/>
      <w:r>
        <w:t>Ans</w:t>
      </w:r>
      <w:proofErr w:type="spellEnd"/>
      <w:r>
        <w:t>: a</w:t>
      </w:r>
    </w:p>
    <w:p w:rsidR="00000000" w:rsidRDefault="00870CF7">
      <w:r>
        <w:t>22. b</w:t>
      </w:r>
    </w:p>
    <w:p w:rsidR="00000000" w:rsidRDefault="00870CF7">
      <w:r>
        <w:t>23. True</w:t>
      </w:r>
    </w:p>
    <w:p w:rsidR="00000000" w:rsidRDefault="00870CF7">
      <w:r>
        <w:t xml:space="preserve">24. </w:t>
      </w:r>
      <w:r>
        <w:t>c</w:t>
      </w:r>
    </w:p>
    <w:p w:rsidR="00000000" w:rsidRDefault="00870CF7">
      <w:r>
        <w:t>25. Return on Owners Equity = (</w:t>
      </w:r>
      <w:r>
        <w:t>Profit after Interest/</w:t>
      </w:r>
      <w:r>
        <w:t>Equi</w:t>
      </w:r>
      <w:r>
        <w:t>ty</w:t>
      </w:r>
      <w:r>
        <w:t>)x100</w:t>
      </w:r>
    </w:p>
    <w:p w:rsidR="00000000" w:rsidRDefault="00870CF7">
      <w:r>
        <w:t xml:space="preserve">25 = </w:t>
      </w:r>
      <w:r>
        <w:t>(</w:t>
      </w:r>
      <w:r>
        <w:t xml:space="preserve">(36,000 </w:t>
      </w:r>
      <w:r>
        <w:t>–</w:t>
      </w:r>
      <w:r>
        <w:t xml:space="preserve"> x)</w:t>
      </w:r>
      <w:r>
        <w:t>/100,000</w:t>
      </w:r>
      <w:r>
        <w:t>)*</w:t>
      </w:r>
      <w:r>
        <w:t>100</w:t>
      </w:r>
      <w:r>
        <w:t xml:space="preserve"> ;  where x is the interest</w:t>
      </w:r>
    </w:p>
    <w:p w:rsidR="00000000" w:rsidRDefault="00870CF7">
      <w:r>
        <w:lastRenderedPageBreak/>
        <w:t xml:space="preserve"> </w:t>
      </w:r>
      <w:r>
        <w:t xml:space="preserve">.25 (100,000) = 36000 </w:t>
      </w:r>
      <w:r>
        <w:t>–</w:t>
      </w:r>
      <w:r>
        <w:t xml:space="preserve"> x</w:t>
      </w:r>
    </w:p>
    <w:p w:rsidR="00000000" w:rsidRDefault="00870CF7">
      <w:r>
        <w:t xml:space="preserve">x=36,000 </w:t>
      </w:r>
      <w:r>
        <w:t>–</w:t>
      </w:r>
      <w:r>
        <w:t xml:space="preserve"> 25,</w:t>
      </w:r>
      <w:r>
        <w:t>000 = 11,000</w:t>
      </w:r>
    </w:p>
    <w:p w:rsidR="00000000" w:rsidRDefault="00870CF7">
      <w:r>
        <w:t xml:space="preserve">At 10% interest, the loan stock would need to be 110,000 </w:t>
      </w:r>
      <w:proofErr w:type="spellStart"/>
      <w:r>
        <w:t>Ans</w:t>
      </w:r>
      <w:proofErr w:type="spellEnd"/>
      <w:r>
        <w:t>: a</w:t>
      </w:r>
    </w:p>
    <w:p w:rsidR="00000000" w:rsidRDefault="00870CF7">
      <w:r>
        <w:t>26. Gearing Ration = (</w:t>
      </w:r>
      <w:r>
        <w:t>long terms debts/Owners Equity)</w:t>
      </w:r>
    </w:p>
    <w:p w:rsidR="00000000" w:rsidRDefault="00870CF7">
      <w:r>
        <w:t>x/</w:t>
      </w:r>
      <w:r>
        <w:t>(</w:t>
      </w:r>
      <w:r>
        <w:t>100,000</w:t>
      </w:r>
      <w:r>
        <w:t>+x)</w:t>
      </w:r>
      <w:r>
        <w:t xml:space="preserve"> = 3</w:t>
      </w:r>
      <w:r>
        <w:t>7.5</w:t>
      </w:r>
      <w:r>
        <w:t>%</w:t>
      </w:r>
      <w:r>
        <w:t xml:space="preserve"> ;  where x = lon</w:t>
      </w:r>
      <w:r>
        <w:t>g term debt</w:t>
      </w:r>
    </w:p>
    <w:p w:rsidR="00000000" w:rsidRDefault="00870CF7"/>
    <w:p w:rsidR="00000000" w:rsidRDefault="00870CF7">
      <w:pPr>
        <w:pStyle w:val="Heading2"/>
      </w:pPr>
      <w:r>
        <w:t>Note: Equity includes the long term loan</w:t>
      </w:r>
      <w:r>
        <w:t>, hence 100000+x</w:t>
      </w:r>
    </w:p>
    <w:p w:rsidR="00000000" w:rsidRDefault="00870CF7">
      <w:r>
        <w:t>x = .375(100,000 + x)</w:t>
      </w:r>
    </w:p>
    <w:p w:rsidR="00000000" w:rsidRDefault="00870CF7">
      <w:r>
        <w:t>x = 37,500 + .375x</w:t>
      </w:r>
    </w:p>
    <w:p w:rsidR="00000000" w:rsidRDefault="00870CF7">
      <w:r>
        <w:t>.625x = 37,500</w:t>
      </w:r>
    </w:p>
    <w:p w:rsidR="00000000" w:rsidRDefault="00870CF7">
      <w:r>
        <w:t>x = 60,000</w:t>
      </w:r>
    </w:p>
    <w:p w:rsidR="00000000" w:rsidRDefault="00870CF7">
      <w:proofErr w:type="spellStart"/>
      <w:r>
        <w:t>Ans</w:t>
      </w:r>
      <w:proofErr w:type="spellEnd"/>
      <w:r>
        <w:t xml:space="preserve">: </w:t>
      </w:r>
      <w:r>
        <w:t>b</w:t>
      </w:r>
    </w:p>
    <w:p w:rsidR="00000000" w:rsidRDefault="00870CF7"/>
    <w:p w:rsidR="00000000" w:rsidRDefault="00870CF7"/>
    <w:p w:rsidR="00000000" w:rsidRDefault="00870CF7"/>
    <w:p w:rsidR="00870CF7" w:rsidRDefault="00870CF7"/>
    <w:sectPr w:rsidR="00870C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F98"/>
    <w:multiLevelType w:val="singleLevel"/>
    <w:tmpl w:val="8BD87DE6"/>
    <w:lvl w:ilvl="0">
      <w:start w:val="3"/>
      <w:numFmt w:val="bullet"/>
      <w:lvlText w:val="-"/>
      <w:lvlJc w:val="left"/>
      <w:pPr>
        <w:tabs>
          <w:tab w:val="num" w:pos="360"/>
        </w:tabs>
        <w:ind w:left="360" w:hanging="360"/>
      </w:pPr>
      <w:rPr>
        <w:rFonts w:ascii="Times New Roman" w:hAnsi="Times New Roman" w:hint="default"/>
      </w:rPr>
    </w:lvl>
  </w:abstractNum>
  <w:abstractNum w:abstractNumId="1">
    <w:nsid w:val="1B1D6341"/>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
    <w:nsid w:val="1E28134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220252D"/>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3D0B13A0"/>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40A65179"/>
    <w:multiLevelType w:val="singleLevel"/>
    <w:tmpl w:val="8BD87DE6"/>
    <w:lvl w:ilvl="0">
      <w:start w:val="203"/>
      <w:numFmt w:val="bullet"/>
      <w:lvlText w:val="-"/>
      <w:lvlJc w:val="left"/>
      <w:pPr>
        <w:tabs>
          <w:tab w:val="num" w:pos="360"/>
        </w:tabs>
        <w:ind w:left="360" w:hanging="360"/>
      </w:pPr>
      <w:rPr>
        <w:rFonts w:ascii="Times New Roman" w:hAnsi="Times New Roman" w:hint="default"/>
      </w:rPr>
    </w:lvl>
  </w:abstractNum>
  <w:abstractNum w:abstractNumId="6">
    <w:nsid w:val="5BB15EA1"/>
    <w:multiLevelType w:val="singleLevel"/>
    <w:tmpl w:val="8BD87DE6"/>
    <w:lvl w:ilvl="0">
      <w:start w:val="203"/>
      <w:numFmt w:val="bullet"/>
      <w:lvlText w:val="-"/>
      <w:lvlJc w:val="left"/>
      <w:pPr>
        <w:tabs>
          <w:tab w:val="num" w:pos="360"/>
        </w:tabs>
        <w:ind w:left="360" w:hanging="360"/>
      </w:pPr>
      <w:rPr>
        <w:rFonts w:ascii="Times New Roman" w:hAnsi="Times New Roman" w:hint="default"/>
      </w:rPr>
    </w:lvl>
  </w:abstractNum>
  <w:abstractNum w:abstractNumId="7">
    <w:nsid w:val="63BF59E3"/>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8">
    <w:nsid w:val="68CA5C1A"/>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9">
    <w:nsid w:val="7E1719DC"/>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num w:numId="1">
    <w:abstractNumId w:val="4"/>
  </w:num>
  <w:num w:numId="2">
    <w:abstractNumId w:val="1"/>
  </w:num>
  <w:num w:numId="3">
    <w:abstractNumId w:val="0"/>
  </w:num>
  <w:num w:numId="4">
    <w:abstractNumId w:val="6"/>
  </w:num>
  <w:num w:numId="5">
    <w:abstractNumId w:val="9"/>
  </w:num>
  <w:num w:numId="6">
    <w:abstractNumId w:val="5"/>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78"/>
    <w:rsid w:val="00155D78"/>
    <w:rsid w:val="00870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Module 3 – The Balance Sheet</vt:lpstr>
    </vt:vector>
  </TitlesOfParts>
  <Company>Globe Wireless</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2015-02-12T19:33:00Z</dcterms:created>
  <dcterms:modified xsi:type="dcterms:W3CDTF">2015-02-12T19:33:00Z</dcterms:modified>
</cp:coreProperties>
</file>