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7CD" w:rsidRPr="00C157CD" w:rsidRDefault="00C157CD">
      <w:pPr>
        <w:pStyle w:val="Title"/>
        <w:spacing w:line="360" w:lineRule="auto"/>
        <w:rPr>
          <w:b w:val="0"/>
          <w:bCs w:val="0"/>
          <w:color w:val="FF00FF"/>
          <w:sz w:val="40"/>
        </w:rPr>
      </w:pPr>
      <w:r w:rsidRPr="00C157CD">
        <w:rPr>
          <w:i/>
          <w:iCs/>
          <w:sz w:val="24"/>
        </w:rPr>
        <w:t>Synthèse droit et comptabilité</w:t>
      </w:r>
      <w:r w:rsidRPr="00C157CD">
        <w:rPr>
          <w:b w:val="0"/>
          <w:bCs w:val="0"/>
          <w:color w:val="FF00FF"/>
          <w:sz w:val="40"/>
        </w:rPr>
        <w:t xml:space="preserve"> </w:t>
      </w:r>
    </w:p>
    <w:p w:rsidR="00AA2C82" w:rsidRDefault="00DF751D">
      <w:pPr>
        <w:pStyle w:val="Title"/>
        <w:spacing w:line="360" w:lineRule="auto"/>
        <w:rPr>
          <w:b w:val="0"/>
          <w:bCs w:val="0"/>
          <w:color w:val="FF00FF"/>
          <w:sz w:val="36"/>
        </w:rPr>
      </w:pPr>
      <w:r>
        <w:rPr>
          <w:b w:val="0"/>
          <w:bCs w:val="0"/>
          <w:color w:val="FF00FF"/>
          <w:sz w:val="36"/>
        </w:rPr>
        <w:t>Partie 1 : Les opérations de fin d’exercice</w:t>
      </w:r>
    </w:p>
    <w:p w:rsidR="00AA2C82" w:rsidRDefault="00AA2C82">
      <w:pPr>
        <w:spacing w:line="360" w:lineRule="auto"/>
        <w:jc w:val="both"/>
        <w:rPr>
          <w:rFonts w:ascii="Arial" w:hAnsi="Arial" w:cs="Arial"/>
          <w:color w:val="FF00FF"/>
          <w:sz w:val="22"/>
        </w:rPr>
      </w:pPr>
    </w:p>
    <w:p w:rsidR="00AA2C82" w:rsidRDefault="00DF751D">
      <w:pPr>
        <w:pStyle w:val="Subtitle"/>
        <w:rPr>
          <w:color w:val="FF00FF"/>
          <w:sz w:val="22"/>
        </w:rPr>
      </w:pPr>
      <w:r>
        <w:rPr>
          <w:color w:val="FF00FF"/>
        </w:rPr>
        <w:t>Chapitre 1 : Le traitement des stocks</w:t>
      </w:r>
      <w:bookmarkStart w:id="0" w:name="_GoBack"/>
      <w:bookmarkEnd w:id="0"/>
    </w:p>
    <w:p w:rsidR="00AA2C82" w:rsidRDefault="00DF751D">
      <w:pPr>
        <w:numPr>
          <w:ilvl w:val="0"/>
          <w:numId w:val="1"/>
        </w:numPr>
        <w:spacing w:line="360" w:lineRule="auto"/>
        <w:jc w:val="both"/>
        <w:rPr>
          <w:rFonts w:ascii="Arial" w:hAnsi="Arial" w:cs="Arial"/>
          <w:sz w:val="22"/>
        </w:rPr>
      </w:pPr>
      <w:r>
        <w:rPr>
          <w:rFonts w:ascii="Arial" w:hAnsi="Arial" w:cs="Arial"/>
          <w:sz w:val="22"/>
        </w:rPr>
        <w:t>Marchandises : SI – SF (comptabilisation avec compte 3. et compte 603.)</w:t>
      </w:r>
    </w:p>
    <w:p w:rsidR="00AA2C82" w:rsidRDefault="00DF751D">
      <w:pPr>
        <w:numPr>
          <w:ilvl w:val="0"/>
          <w:numId w:val="1"/>
        </w:numPr>
        <w:spacing w:line="360" w:lineRule="auto"/>
        <w:jc w:val="both"/>
        <w:rPr>
          <w:rFonts w:ascii="Arial" w:hAnsi="Arial" w:cs="Arial"/>
          <w:sz w:val="22"/>
        </w:rPr>
      </w:pPr>
      <w:r>
        <w:rPr>
          <w:rFonts w:ascii="Arial" w:hAnsi="Arial" w:cs="Arial"/>
          <w:sz w:val="22"/>
        </w:rPr>
        <w:t>Produits : SF – SI (comptabilisation avec compte 3. et compte 713.)</w:t>
      </w:r>
    </w:p>
    <w:p w:rsidR="00AA2C82" w:rsidRDefault="00AA2C82">
      <w:pPr>
        <w:spacing w:line="360" w:lineRule="auto"/>
        <w:jc w:val="both"/>
        <w:rPr>
          <w:rFonts w:ascii="Arial" w:hAnsi="Arial" w:cs="Arial"/>
          <w:sz w:val="22"/>
        </w:rPr>
      </w:pPr>
    </w:p>
    <w:p w:rsidR="00AA2C82" w:rsidRDefault="00DF751D">
      <w:pPr>
        <w:pStyle w:val="Heading2"/>
        <w:rPr>
          <w:color w:val="FF00FF"/>
        </w:rPr>
      </w:pPr>
      <w:r>
        <w:rPr>
          <w:color w:val="FF00FF"/>
        </w:rPr>
        <w:t>Chapitre 2° : Les charges à étaler</w:t>
      </w:r>
    </w:p>
    <w:p w:rsidR="00AA2C82" w:rsidRDefault="00DF751D">
      <w:pPr>
        <w:numPr>
          <w:ilvl w:val="0"/>
          <w:numId w:val="1"/>
        </w:numPr>
        <w:spacing w:line="360" w:lineRule="auto"/>
        <w:jc w:val="both"/>
        <w:rPr>
          <w:rFonts w:ascii="Arial" w:hAnsi="Arial" w:cs="Arial"/>
          <w:sz w:val="22"/>
        </w:rPr>
      </w:pPr>
      <w:r>
        <w:rPr>
          <w:rFonts w:ascii="Arial" w:hAnsi="Arial" w:cs="Arial"/>
          <w:b/>
          <w:bCs/>
          <w:sz w:val="22"/>
        </w:rPr>
        <w:t>Les frais d’établissement</w:t>
      </w:r>
      <w:r>
        <w:rPr>
          <w:rFonts w:ascii="Arial" w:hAnsi="Arial" w:cs="Arial"/>
          <w:sz w:val="22"/>
        </w:rPr>
        <w:t xml:space="preserve"> : ce sont des frais que l’entreprise supporte quand elle s’installe ou quand elle fait des modifications structurelles (frais de constitution, frais d’installation et de publicité, frais intermédiaires). Ces frais se réfèrent à des opérations exceptionnelles, cependant ils peuvent être très importants donc ils peuvent être comptabilisés comme une immobilisation (immobilisations incorporelles – compte 201). De plus amortissement sur une période de 2 à 5 ans, il </w:t>
      </w:r>
      <w:proofErr w:type="gramStart"/>
      <w:r>
        <w:rPr>
          <w:rFonts w:ascii="Arial" w:hAnsi="Arial" w:cs="Arial"/>
          <w:sz w:val="22"/>
        </w:rPr>
        <w:t>n’ y</w:t>
      </w:r>
      <w:proofErr w:type="gramEnd"/>
      <w:r>
        <w:rPr>
          <w:rFonts w:ascii="Arial" w:hAnsi="Arial" w:cs="Arial"/>
          <w:sz w:val="22"/>
        </w:rPr>
        <w:t xml:space="preserve"> a pas de prorata </w:t>
      </w:r>
      <w:proofErr w:type="spellStart"/>
      <w:r>
        <w:rPr>
          <w:rFonts w:ascii="Arial" w:hAnsi="Arial" w:cs="Arial"/>
          <w:sz w:val="22"/>
        </w:rPr>
        <w:t>temporis</w:t>
      </w:r>
      <w:proofErr w:type="spellEnd"/>
      <w:r>
        <w:rPr>
          <w:rFonts w:ascii="Arial" w:hAnsi="Arial" w:cs="Arial"/>
          <w:sz w:val="22"/>
        </w:rPr>
        <w:t xml:space="preserve"> pour le calcul.</w:t>
      </w:r>
    </w:p>
    <w:p w:rsidR="00AA2C82" w:rsidRDefault="00DF751D">
      <w:pPr>
        <w:numPr>
          <w:ilvl w:val="0"/>
          <w:numId w:val="1"/>
        </w:numPr>
        <w:spacing w:line="360" w:lineRule="auto"/>
        <w:jc w:val="both"/>
        <w:rPr>
          <w:rFonts w:ascii="Arial" w:hAnsi="Arial" w:cs="Arial"/>
          <w:sz w:val="22"/>
        </w:rPr>
      </w:pPr>
      <w:r>
        <w:rPr>
          <w:rFonts w:ascii="Arial" w:hAnsi="Arial" w:cs="Arial"/>
          <w:b/>
          <w:bCs/>
          <w:sz w:val="22"/>
        </w:rPr>
        <w:t>Les charges à répartir </w:t>
      </w:r>
      <w:r>
        <w:rPr>
          <w:rFonts w:ascii="Arial" w:hAnsi="Arial" w:cs="Arial"/>
          <w:sz w:val="22"/>
        </w:rPr>
        <w:t>: changement avec les IFRS.</w:t>
      </w:r>
    </w:p>
    <w:p w:rsidR="00AA2C82" w:rsidRDefault="00AA2C82">
      <w:pPr>
        <w:spacing w:line="360" w:lineRule="auto"/>
        <w:jc w:val="both"/>
        <w:rPr>
          <w:rFonts w:ascii="Arial" w:hAnsi="Arial" w:cs="Arial"/>
          <w:sz w:val="22"/>
        </w:rPr>
      </w:pPr>
    </w:p>
    <w:p w:rsidR="00AA2C82" w:rsidRDefault="00DF751D">
      <w:pPr>
        <w:pStyle w:val="Heading2"/>
        <w:rPr>
          <w:color w:val="FF00FF"/>
        </w:rPr>
      </w:pPr>
      <w:r>
        <w:rPr>
          <w:color w:val="FF00FF"/>
        </w:rPr>
        <w:t>Chapitre 3° : Les provisions réglementées</w:t>
      </w:r>
    </w:p>
    <w:p w:rsidR="00AA2C82" w:rsidRDefault="00DF751D">
      <w:pPr>
        <w:pStyle w:val="BodyTextIndent"/>
        <w:ind w:firstLine="0"/>
      </w:pPr>
      <w:r>
        <w:t xml:space="preserve">Tous les éléments d’actif peuvent faire objet d’une provision. Les provisions pour risque et charges visent à constater par anticipation des pertes probables. Les provisions réglementées </w:t>
      </w:r>
      <w:proofErr w:type="spellStart"/>
      <w:r>
        <w:t>sont elles</w:t>
      </w:r>
      <w:proofErr w:type="spellEnd"/>
      <w:r>
        <w:t xml:space="preserve"> </w:t>
      </w:r>
      <w:r>
        <w:rPr>
          <w:b/>
          <w:bCs/>
        </w:rPr>
        <w:t>d’origine fiscale</w:t>
      </w:r>
      <w:r>
        <w:t>. Quelques exemples : provision pour hausse des prix, provision pour fluctuation de cours, provision pour investissement. Pour les entreprises, ça apporte un avantage fiscal. Comptablement elles sont traitées comme les provisions pour risques et charges, elles sont dans les fonds propres. Comptes utilisés : 687 et 787 pour la reprise.</w:t>
      </w:r>
    </w:p>
    <w:p w:rsidR="00AA2C82" w:rsidRDefault="00DF751D">
      <w:pPr>
        <w:spacing w:line="360" w:lineRule="auto"/>
        <w:jc w:val="both"/>
        <w:rPr>
          <w:rFonts w:ascii="Arial" w:hAnsi="Arial" w:cs="Arial"/>
          <w:sz w:val="22"/>
        </w:rPr>
      </w:pPr>
      <w:r>
        <w:rPr>
          <w:rFonts w:ascii="Arial" w:hAnsi="Arial" w:cs="Arial"/>
          <w:b/>
          <w:bCs/>
          <w:sz w:val="22"/>
        </w:rPr>
        <w:t>Cas particulier des amortissements dérogatoires</w:t>
      </w:r>
      <w:r>
        <w:rPr>
          <w:rFonts w:ascii="Arial" w:hAnsi="Arial" w:cs="Arial"/>
          <w:sz w:val="22"/>
        </w:rPr>
        <w:t> : d’un côté on calcul l’amortissement fiscal maximum et d’un autre l’amortissement économique justifié. Dans un premier temps, comptabilisation amortissement économique, puis écriture qui annule l’écart entre les 2 types d’amortissement (687 à 145 quand amortissement fiscal &gt; amortissement économique et 145 à 787 quand amortissement économique &gt; amortissement fiscal).</w:t>
      </w:r>
    </w:p>
    <w:p w:rsidR="00AA2C82" w:rsidRDefault="00AA2C82">
      <w:pPr>
        <w:spacing w:line="360" w:lineRule="auto"/>
        <w:jc w:val="both"/>
        <w:rPr>
          <w:rFonts w:ascii="Arial" w:hAnsi="Arial" w:cs="Arial"/>
          <w:sz w:val="22"/>
        </w:rPr>
      </w:pPr>
    </w:p>
    <w:p w:rsidR="00AA2C82" w:rsidRDefault="00DF751D">
      <w:pPr>
        <w:pStyle w:val="Heading2"/>
        <w:rPr>
          <w:color w:val="FF00FF"/>
        </w:rPr>
      </w:pPr>
      <w:r>
        <w:rPr>
          <w:color w:val="FF00FF"/>
        </w:rPr>
        <w:t>Chapitre 4° : Les subventions</w:t>
      </w:r>
    </w:p>
    <w:p w:rsidR="00AA2C82" w:rsidRDefault="00DF751D">
      <w:pPr>
        <w:numPr>
          <w:ilvl w:val="0"/>
          <w:numId w:val="1"/>
        </w:numPr>
        <w:spacing w:line="360" w:lineRule="auto"/>
        <w:jc w:val="both"/>
        <w:rPr>
          <w:rFonts w:ascii="Arial" w:hAnsi="Arial" w:cs="Arial"/>
          <w:sz w:val="22"/>
        </w:rPr>
      </w:pPr>
      <w:r>
        <w:rPr>
          <w:rFonts w:ascii="Arial" w:hAnsi="Arial" w:cs="Arial"/>
          <w:b/>
          <w:bCs/>
          <w:sz w:val="22"/>
        </w:rPr>
        <w:t xml:space="preserve">Subvention d’exploitation </w:t>
      </w:r>
      <w:r>
        <w:rPr>
          <w:rFonts w:ascii="Arial" w:hAnsi="Arial" w:cs="Arial"/>
          <w:sz w:val="22"/>
        </w:rPr>
        <w:t xml:space="preserve">: C’est soit un dédommagement, soit une incitation versé par la collectivité à une entreprise en contrepartie de quelque chose. </w:t>
      </w:r>
    </w:p>
    <w:p w:rsidR="00AA2C82" w:rsidRDefault="00DF751D">
      <w:pPr>
        <w:spacing w:line="360" w:lineRule="auto"/>
        <w:ind w:firstLine="360"/>
        <w:jc w:val="both"/>
        <w:rPr>
          <w:rFonts w:ascii="Arial" w:hAnsi="Arial" w:cs="Arial"/>
          <w:sz w:val="22"/>
        </w:rPr>
      </w:pPr>
      <w:r>
        <w:rPr>
          <w:rFonts w:ascii="Arial" w:hAnsi="Arial" w:cs="Arial"/>
          <w:sz w:val="22"/>
        </w:rPr>
        <w:t xml:space="preserve">Lors du versement de la subvention compte </w:t>
      </w:r>
      <w:r>
        <w:rPr>
          <w:rFonts w:ascii="Arial" w:hAnsi="Arial" w:cs="Arial"/>
          <w:b/>
          <w:bCs/>
          <w:sz w:val="22"/>
        </w:rPr>
        <w:t>512 à 74</w:t>
      </w:r>
      <w:r>
        <w:rPr>
          <w:rFonts w:ascii="Arial" w:hAnsi="Arial" w:cs="Arial"/>
          <w:sz w:val="22"/>
        </w:rPr>
        <w:t>.</w:t>
      </w:r>
    </w:p>
    <w:p w:rsidR="00AA2C82" w:rsidRDefault="00DF751D">
      <w:pPr>
        <w:numPr>
          <w:ilvl w:val="0"/>
          <w:numId w:val="1"/>
        </w:numPr>
        <w:spacing w:line="360" w:lineRule="auto"/>
        <w:jc w:val="both"/>
        <w:rPr>
          <w:rFonts w:ascii="Arial" w:hAnsi="Arial" w:cs="Arial"/>
          <w:sz w:val="22"/>
        </w:rPr>
      </w:pPr>
      <w:r>
        <w:rPr>
          <w:rFonts w:ascii="Arial" w:hAnsi="Arial" w:cs="Arial"/>
          <w:b/>
          <w:bCs/>
          <w:sz w:val="22"/>
        </w:rPr>
        <w:t>Subvention d’investissement </w:t>
      </w:r>
      <w:r>
        <w:rPr>
          <w:rFonts w:ascii="Arial" w:hAnsi="Arial" w:cs="Arial"/>
          <w:sz w:val="22"/>
        </w:rPr>
        <w:t>: Subvention pour inciter à investir, la collectivité souhaite participer à l’effort d’équipement.</w:t>
      </w:r>
    </w:p>
    <w:p w:rsidR="00AA2C82" w:rsidRDefault="00DF751D">
      <w:pPr>
        <w:pStyle w:val="BodyText"/>
        <w:ind w:left="360"/>
      </w:pPr>
      <w:r>
        <w:lastRenderedPageBreak/>
        <w:t>Comptabilisation de l’acquisition de l’immobilisation, puis du versement de la subvention (512 à 131). A la clôture comptabilisation de l’amortissement et d’une partie de la subvention virée au compte de résultat (139 à 777 pour un montant égal à l’amortissement par le pourcentage correspondant à la subvention d’équipement). Lorsque que l’ensemble du montant de la subvention concernant l’équipement est passée en 139, écriture du 131 au 139 pour solder les comptes.</w:t>
      </w:r>
    </w:p>
    <w:p w:rsidR="00AA2C82" w:rsidRDefault="00DF751D">
      <w:pPr>
        <w:numPr>
          <w:ilvl w:val="0"/>
          <w:numId w:val="1"/>
        </w:numPr>
        <w:spacing w:line="360" w:lineRule="auto"/>
        <w:jc w:val="both"/>
        <w:rPr>
          <w:rFonts w:ascii="Arial" w:hAnsi="Arial" w:cs="Arial"/>
          <w:sz w:val="22"/>
        </w:rPr>
      </w:pPr>
      <w:r>
        <w:rPr>
          <w:rFonts w:ascii="Arial" w:hAnsi="Arial" w:cs="Arial"/>
          <w:b/>
          <w:bCs/>
          <w:sz w:val="22"/>
        </w:rPr>
        <w:t>Subvention d’équilibre</w:t>
      </w:r>
      <w:r>
        <w:rPr>
          <w:rFonts w:ascii="Arial" w:hAnsi="Arial" w:cs="Arial"/>
          <w:sz w:val="22"/>
        </w:rPr>
        <w:t> : Concerne les entreprises publiques ou déficitaires.</w:t>
      </w:r>
    </w:p>
    <w:p w:rsidR="00AA2C82" w:rsidRDefault="00DF751D">
      <w:pPr>
        <w:spacing w:line="360" w:lineRule="auto"/>
        <w:ind w:firstLine="360"/>
        <w:jc w:val="both"/>
        <w:rPr>
          <w:rFonts w:ascii="Arial" w:hAnsi="Arial" w:cs="Arial"/>
          <w:sz w:val="22"/>
        </w:rPr>
      </w:pPr>
      <w:r>
        <w:rPr>
          <w:rFonts w:ascii="Arial" w:hAnsi="Arial" w:cs="Arial"/>
          <w:sz w:val="22"/>
        </w:rPr>
        <w:t xml:space="preserve">Lors du versement </w:t>
      </w:r>
      <w:r>
        <w:rPr>
          <w:rFonts w:ascii="Arial" w:hAnsi="Arial" w:cs="Arial"/>
          <w:b/>
          <w:bCs/>
          <w:sz w:val="22"/>
        </w:rPr>
        <w:t>512 à 7715</w:t>
      </w:r>
      <w:r>
        <w:rPr>
          <w:rFonts w:ascii="Arial" w:hAnsi="Arial" w:cs="Arial"/>
          <w:sz w:val="22"/>
        </w:rPr>
        <w:t>.</w:t>
      </w:r>
    </w:p>
    <w:p w:rsidR="00AA2C82" w:rsidRDefault="00AA2C82">
      <w:pPr>
        <w:spacing w:line="360" w:lineRule="auto"/>
        <w:jc w:val="both"/>
        <w:rPr>
          <w:rFonts w:ascii="Arial" w:hAnsi="Arial" w:cs="Arial"/>
          <w:sz w:val="22"/>
        </w:rPr>
      </w:pPr>
    </w:p>
    <w:p w:rsidR="00AA2C82" w:rsidRDefault="00DF751D">
      <w:pPr>
        <w:pStyle w:val="Heading2"/>
        <w:rPr>
          <w:color w:val="FF00FF"/>
          <w:sz w:val="22"/>
        </w:rPr>
      </w:pPr>
      <w:r>
        <w:rPr>
          <w:color w:val="FF00FF"/>
        </w:rPr>
        <w:t>Chapitre 5°: La réévaluation d’actif</w:t>
      </w:r>
    </w:p>
    <w:p w:rsidR="00AA2C82" w:rsidRDefault="00DF751D">
      <w:pPr>
        <w:spacing w:line="360" w:lineRule="auto"/>
        <w:jc w:val="both"/>
        <w:rPr>
          <w:rFonts w:ascii="Arial" w:hAnsi="Arial" w:cs="Arial"/>
          <w:sz w:val="22"/>
        </w:rPr>
      </w:pPr>
      <w:r>
        <w:rPr>
          <w:rFonts w:ascii="Arial" w:hAnsi="Arial" w:cs="Arial"/>
          <w:sz w:val="22"/>
        </w:rPr>
        <w:t xml:space="preserve">Solution pour résoudre </w:t>
      </w:r>
      <w:proofErr w:type="gramStart"/>
      <w:r>
        <w:rPr>
          <w:rFonts w:ascii="Arial" w:hAnsi="Arial" w:cs="Arial"/>
          <w:sz w:val="22"/>
        </w:rPr>
        <w:t>les problème</w:t>
      </w:r>
      <w:proofErr w:type="gramEnd"/>
      <w:r>
        <w:rPr>
          <w:rFonts w:ascii="Arial" w:hAnsi="Arial" w:cs="Arial"/>
          <w:sz w:val="22"/>
        </w:rPr>
        <w:t xml:space="preserve"> des immobilisations qui prennent de la valeur au niveau économique, tandis qu’au niveau de la valeur comptable, elle reste stable ou diminue. 3 conditions pour effectuer la réévaluation libre : démontrer la valeur du bien sur le marché, s’assurer que le CAC ne va pas mettre une réserve sur cette opération et paiement de l’impôt sur la PV.</w:t>
      </w:r>
    </w:p>
    <w:p w:rsidR="00AA2C82" w:rsidRDefault="00DF751D">
      <w:pPr>
        <w:spacing w:line="360" w:lineRule="auto"/>
        <w:jc w:val="both"/>
        <w:rPr>
          <w:rFonts w:ascii="Arial" w:hAnsi="Arial" w:cs="Arial"/>
          <w:sz w:val="22"/>
        </w:rPr>
      </w:pPr>
      <w:r>
        <w:rPr>
          <w:rFonts w:ascii="Arial" w:hAnsi="Arial" w:cs="Arial"/>
          <w:sz w:val="22"/>
        </w:rPr>
        <w:t xml:space="preserve">Il faut calculer </w:t>
      </w:r>
      <w:r>
        <w:rPr>
          <w:rFonts w:ascii="Arial" w:hAnsi="Arial" w:cs="Arial"/>
          <w:b/>
          <w:bCs/>
          <w:sz w:val="22"/>
        </w:rPr>
        <w:t>l’écart de réévaluation</w:t>
      </w:r>
      <w:r>
        <w:rPr>
          <w:rFonts w:ascii="Arial" w:hAnsi="Arial" w:cs="Arial"/>
          <w:sz w:val="22"/>
        </w:rPr>
        <w:t xml:space="preserve"> (valorisation – VNC) et passer écriture du compte </w:t>
      </w:r>
      <w:r>
        <w:rPr>
          <w:rFonts w:ascii="Arial" w:hAnsi="Arial" w:cs="Arial"/>
          <w:b/>
          <w:bCs/>
          <w:sz w:val="22"/>
        </w:rPr>
        <w:t xml:space="preserve">213 </w:t>
      </w:r>
      <w:r>
        <w:rPr>
          <w:rFonts w:ascii="Arial" w:hAnsi="Arial" w:cs="Arial"/>
          <w:sz w:val="22"/>
        </w:rPr>
        <w:t xml:space="preserve">(si réévaluation d’un immeuble) </w:t>
      </w:r>
      <w:r>
        <w:rPr>
          <w:rFonts w:ascii="Arial" w:hAnsi="Arial" w:cs="Arial"/>
          <w:b/>
          <w:bCs/>
          <w:sz w:val="22"/>
        </w:rPr>
        <w:t>à 105</w:t>
      </w:r>
      <w:r>
        <w:rPr>
          <w:rFonts w:ascii="Arial" w:hAnsi="Arial" w:cs="Arial"/>
          <w:sz w:val="22"/>
        </w:rPr>
        <w:t>. Puis à la clôture, calcul de l’amortissement sur la nouvelle base et sur la durée d’amortissement qui reste. A la fin de la période d’amortissement solde du compte 105 par 7788 ou 106.</w:t>
      </w:r>
    </w:p>
    <w:p w:rsidR="00AA2C82" w:rsidRDefault="00AA2C82">
      <w:pPr>
        <w:spacing w:line="360" w:lineRule="auto"/>
        <w:jc w:val="both"/>
        <w:rPr>
          <w:rFonts w:ascii="Arial" w:hAnsi="Arial" w:cs="Arial"/>
          <w:sz w:val="22"/>
        </w:rPr>
      </w:pPr>
    </w:p>
    <w:p w:rsidR="00AA2C82" w:rsidRDefault="00DF751D">
      <w:pPr>
        <w:pStyle w:val="BodyText2"/>
        <w:rPr>
          <w:color w:val="FF00FF"/>
        </w:rPr>
      </w:pPr>
      <w:r>
        <w:rPr>
          <w:color w:val="FF00FF"/>
        </w:rPr>
        <w:t>Chapitre 6° : Quote-part de résultat sur opérations faites en commun</w:t>
      </w:r>
    </w:p>
    <w:p w:rsidR="00AA2C82" w:rsidRDefault="00DF751D">
      <w:pPr>
        <w:spacing w:line="360" w:lineRule="auto"/>
        <w:jc w:val="both"/>
        <w:rPr>
          <w:rFonts w:ascii="Arial" w:hAnsi="Arial" w:cs="Arial"/>
          <w:sz w:val="22"/>
        </w:rPr>
      </w:pPr>
      <w:r>
        <w:rPr>
          <w:rFonts w:ascii="Arial" w:hAnsi="Arial" w:cs="Arial"/>
          <w:sz w:val="22"/>
        </w:rPr>
        <w:t xml:space="preserve">Problème du résultat fait par des filiales </w:t>
      </w:r>
      <w:proofErr w:type="gramStart"/>
      <w:r>
        <w:rPr>
          <w:rFonts w:ascii="Arial" w:hAnsi="Arial" w:cs="Arial"/>
          <w:sz w:val="22"/>
        </w:rPr>
        <w:t>tels</w:t>
      </w:r>
      <w:proofErr w:type="gramEnd"/>
      <w:r>
        <w:rPr>
          <w:rFonts w:ascii="Arial" w:hAnsi="Arial" w:cs="Arial"/>
          <w:sz w:val="22"/>
        </w:rPr>
        <w:t xml:space="preserve"> que les GIE, SNC. Le résultat de ces filiales est immédiatement affecté </w:t>
      </w:r>
      <w:proofErr w:type="gramStart"/>
      <w:r>
        <w:rPr>
          <w:rFonts w:ascii="Arial" w:hAnsi="Arial" w:cs="Arial"/>
          <w:sz w:val="22"/>
        </w:rPr>
        <w:t>aux associé</w:t>
      </w:r>
      <w:proofErr w:type="gramEnd"/>
      <w:r>
        <w:rPr>
          <w:rFonts w:ascii="Arial" w:hAnsi="Arial" w:cs="Arial"/>
          <w:sz w:val="22"/>
        </w:rPr>
        <w:t xml:space="preserve"> au prorata de leur pourcentage de détention. Chez les </w:t>
      </w:r>
      <w:r>
        <w:rPr>
          <w:rFonts w:ascii="Arial" w:hAnsi="Arial" w:cs="Arial"/>
          <w:b/>
          <w:bCs/>
          <w:sz w:val="22"/>
        </w:rPr>
        <w:t>associés</w:t>
      </w:r>
      <w:r>
        <w:rPr>
          <w:rFonts w:ascii="Arial" w:hAnsi="Arial" w:cs="Arial"/>
          <w:sz w:val="22"/>
        </w:rPr>
        <w:t xml:space="preserve">, écriture du compte </w:t>
      </w:r>
      <w:r>
        <w:rPr>
          <w:rFonts w:ascii="Arial" w:hAnsi="Arial" w:cs="Arial"/>
          <w:b/>
          <w:bCs/>
          <w:sz w:val="22"/>
        </w:rPr>
        <w:t>458 à 755</w:t>
      </w:r>
      <w:r>
        <w:rPr>
          <w:rFonts w:ascii="Arial" w:hAnsi="Arial" w:cs="Arial"/>
          <w:sz w:val="22"/>
        </w:rPr>
        <w:t xml:space="preserve"> pour le montant qui leur revient. Pour la </w:t>
      </w:r>
      <w:r>
        <w:rPr>
          <w:rFonts w:ascii="Arial" w:hAnsi="Arial" w:cs="Arial"/>
          <w:b/>
          <w:bCs/>
          <w:sz w:val="22"/>
        </w:rPr>
        <w:t>filiale</w:t>
      </w:r>
      <w:r>
        <w:rPr>
          <w:rFonts w:ascii="Arial" w:hAnsi="Arial" w:cs="Arial"/>
          <w:sz w:val="22"/>
        </w:rPr>
        <w:t xml:space="preserve">, compte </w:t>
      </w:r>
      <w:r>
        <w:rPr>
          <w:rFonts w:ascii="Arial" w:hAnsi="Arial" w:cs="Arial"/>
          <w:b/>
          <w:bCs/>
          <w:sz w:val="22"/>
        </w:rPr>
        <w:t>12 aux différents comptes des associés (455..1 ; 455..2 ;…)</w:t>
      </w:r>
      <w:r>
        <w:rPr>
          <w:rFonts w:ascii="Arial" w:hAnsi="Arial" w:cs="Arial"/>
          <w:sz w:val="22"/>
        </w:rPr>
        <w:t>.</w:t>
      </w:r>
    </w:p>
    <w:p w:rsidR="00AA2C82" w:rsidRDefault="00DF751D">
      <w:pPr>
        <w:spacing w:line="360" w:lineRule="auto"/>
        <w:jc w:val="center"/>
        <w:rPr>
          <w:rFonts w:ascii="Arial" w:hAnsi="Arial" w:cs="Arial"/>
          <w:color w:val="FF00FF"/>
          <w:sz w:val="36"/>
        </w:rPr>
      </w:pPr>
      <w:r>
        <w:rPr>
          <w:rFonts w:ascii="Arial" w:hAnsi="Arial" w:cs="Arial"/>
          <w:sz w:val="22"/>
        </w:rPr>
        <w:br w:type="page"/>
      </w:r>
      <w:r>
        <w:rPr>
          <w:rFonts w:ascii="Arial" w:hAnsi="Arial" w:cs="Arial"/>
          <w:color w:val="FF00FF"/>
          <w:sz w:val="36"/>
        </w:rPr>
        <w:lastRenderedPageBreak/>
        <w:t>Partie 2 : La constitution des sociétés</w:t>
      </w:r>
    </w:p>
    <w:p w:rsidR="00AA2C82" w:rsidRDefault="00AA2C82">
      <w:pPr>
        <w:spacing w:line="360" w:lineRule="auto"/>
        <w:jc w:val="both"/>
        <w:rPr>
          <w:rFonts w:ascii="Arial" w:hAnsi="Arial" w:cs="Arial"/>
          <w:sz w:val="22"/>
        </w:rPr>
      </w:pPr>
    </w:p>
    <w:p w:rsidR="00AA2C82" w:rsidRDefault="00DF751D">
      <w:pPr>
        <w:pStyle w:val="Heading2"/>
        <w:rPr>
          <w:color w:val="FF00FF"/>
        </w:rPr>
      </w:pPr>
      <w:r>
        <w:rPr>
          <w:color w:val="FF00FF"/>
        </w:rPr>
        <w:t>Chapitre 1° : Les apports</w:t>
      </w:r>
    </w:p>
    <w:p w:rsidR="00AA2C82" w:rsidRDefault="00DF751D">
      <w:pPr>
        <w:spacing w:line="360" w:lineRule="auto"/>
        <w:jc w:val="both"/>
        <w:rPr>
          <w:rFonts w:ascii="Arial" w:hAnsi="Arial" w:cs="Arial"/>
          <w:sz w:val="22"/>
        </w:rPr>
      </w:pPr>
      <w:r>
        <w:rPr>
          <w:rFonts w:ascii="Arial" w:hAnsi="Arial" w:cs="Arial"/>
          <w:sz w:val="22"/>
        </w:rPr>
        <w:t>3 types d’apport :</w:t>
      </w:r>
    </w:p>
    <w:p w:rsidR="00AA2C82" w:rsidRDefault="00DF751D">
      <w:pPr>
        <w:numPr>
          <w:ilvl w:val="0"/>
          <w:numId w:val="1"/>
        </w:numPr>
        <w:spacing w:line="360" w:lineRule="auto"/>
        <w:jc w:val="both"/>
        <w:rPr>
          <w:rFonts w:ascii="Arial" w:hAnsi="Arial" w:cs="Arial"/>
          <w:sz w:val="22"/>
        </w:rPr>
      </w:pPr>
      <w:r>
        <w:rPr>
          <w:rFonts w:ascii="Arial" w:hAnsi="Arial" w:cs="Arial"/>
          <w:b/>
          <w:bCs/>
          <w:sz w:val="22"/>
        </w:rPr>
        <w:t>Apports en nature</w:t>
      </w:r>
      <w:r>
        <w:rPr>
          <w:rFonts w:ascii="Arial" w:hAnsi="Arial" w:cs="Arial"/>
          <w:sz w:val="22"/>
        </w:rPr>
        <w:t> : biens corporels, incorporels ou financiers.</w:t>
      </w:r>
    </w:p>
    <w:p w:rsidR="00AA2C82" w:rsidRDefault="00DF751D">
      <w:pPr>
        <w:numPr>
          <w:ilvl w:val="0"/>
          <w:numId w:val="1"/>
        </w:numPr>
        <w:spacing w:line="360" w:lineRule="auto"/>
        <w:jc w:val="both"/>
        <w:rPr>
          <w:rFonts w:ascii="Arial" w:hAnsi="Arial" w:cs="Arial"/>
          <w:b/>
          <w:bCs/>
          <w:sz w:val="22"/>
        </w:rPr>
      </w:pPr>
      <w:r>
        <w:rPr>
          <w:rFonts w:ascii="Arial" w:hAnsi="Arial" w:cs="Arial"/>
          <w:b/>
          <w:bCs/>
          <w:sz w:val="22"/>
        </w:rPr>
        <w:t>Apports en numéraire</w:t>
      </w:r>
    </w:p>
    <w:p w:rsidR="00AA2C82" w:rsidRDefault="00DF751D">
      <w:pPr>
        <w:numPr>
          <w:ilvl w:val="0"/>
          <w:numId w:val="1"/>
        </w:numPr>
        <w:spacing w:line="360" w:lineRule="auto"/>
        <w:jc w:val="both"/>
        <w:rPr>
          <w:rFonts w:ascii="Arial" w:hAnsi="Arial" w:cs="Arial"/>
          <w:sz w:val="22"/>
        </w:rPr>
      </w:pPr>
      <w:r>
        <w:rPr>
          <w:rFonts w:ascii="Arial" w:hAnsi="Arial" w:cs="Arial"/>
          <w:b/>
          <w:bCs/>
          <w:sz w:val="22"/>
        </w:rPr>
        <w:t>Apports en industrie</w:t>
      </w:r>
      <w:r>
        <w:rPr>
          <w:rFonts w:ascii="Arial" w:hAnsi="Arial" w:cs="Arial"/>
          <w:sz w:val="22"/>
        </w:rPr>
        <w:t> : ce sont des services rendus.</w:t>
      </w:r>
    </w:p>
    <w:p w:rsidR="00AA2C82" w:rsidRDefault="00AA2C82">
      <w:pPr>
        <w:spacing w:line="360" w:lineRule="auto"/>
        <w:jc w:val="both"/>
        <w:rPr>
          <w:rFonts w:ascii="Arial" w:hAnsi="Arial" w:cs="Arial"/>
          <w:sz w:val="22"/>
        </w:rPr>
      </w:pPr>
    </w:p>
    <w:p w:rsidR="00AA2C82" w:rsidRDefault="00DF751D">
      <w:pPr>
        <w:pStyle w:val="BodyTextIndent"/>
        <w:ind w:firstLine="0"/>
      </w:pPr>
      <w:r>
        <w:t>La libération de l’apport est sa réalisation effective. La rémunération des apports peut prendre 3 formes : apports pures et simples (titres de la société) ; apports à titre onéreux (rémunéré en créance ou en numéraire) </w:t>
      </w:r>
      <w:proofErr w:type="gramStart"/>
      <w:r>
        <w:t>;apports</w:t>
      </w:r>
      <w:proofErr w:type="gramEnd"/>
      <w:r>
        <w:t xml:space="preserve"> mixtes.</w:t>
      </w:r>
    </w:p>
    <w:p w:rsidR="00AA2C82" w:rsidRDefault="00AA2C82">
      <w:pPr>
        <w:spacing w:line="360" w:lineRule="auto"/>
        <w:jc w:val="both"/>
        <w:rPr>
          <w:rFonts w:ascii="Arial" w:hAnsi="Arial" w:cs="Arial"/>
          <w:sz w:val="22"/>
        </w:rPr>
      </w:pPr>
    </w:p>
    <w:p w:rsidR="00AA2C82" w:rsidRDefault="00DF751D">
      <w:pPr>
        <w:pStyle w:val="Heading2"/>
        <w:rPr>
          <w:color w:val="FF00FF"/>
        </w:rPr>
      </w:pPr>
      <w:r>
        <w:rPr>
          <w:color w:val="FF00FF"/>
        </w:rPr>
        <w:t>Chapitre 2° : Frais de constitution</w:t>
      </w:r>
    </w:p>
    <w:p w:rsidR="00AA2C82" w:rsidRDefault="00DF751D">
      <w:pPr>
        <w:spacing w:line="360" w:lineRule="auto"/>
        <w:jc w:val="both"/>
        <w:rPr>
          <w:rFonts w:ascii="Arial" w:hAnsi="Arial" w:cs="Arial"/>
          <w:sz w:val="22"/>
        </w:rPr>
      </w:pPr>
      <w:r>
        <w:rPr>
          <w:rFonts w:ascii="Arial" w:hAnsi="Arial" w:cs="Arial"/>
          <w:sz w:val="22"/>
        </w:rPr>
        <w:t>Certains de ces frais restent incontournables : frais de formalités et frais de modalités.</w:t>
      </w:r>
    </w:p>
    <w:p w:rsidR="00AA2C82" w:rsidRDefault="00AA2C82">
      <w:pPr>
        <w:spacing w:line="360" w:lineRule="auto"/>
        <w:jc w:val="both"/>
        <w:rPr>
          <w:rFonts w:ascii="Arial" w:hAnsi="Arial" w:cs="Arial"/>
          <w:sz w:val="22"/>
        </w:rPr>
      </w:pPr>
    </w:p>
    <w:p w:rsidR="00AA2C82" w:rsidRDefault="00DF751D">
      <w:pPr>
        <w:pStyle w:val="Heading2"/>
        <w:rPr>
          <w:color w:val="FF00FF"/>
        </w:rPr>
      </w:pPr>
      <w:r>
        <w:rPr>
          <w:color w:val="FF00FF"/>
        </w:rPr>
        <w:t>Chapitre 3° : Traitement comptable</w:t>
      </w:r>
    </w:p>
    <w:p w:rsidR="00AA2C82" w:rsidRDefault="00DF751D">
      <w:pPr>
        <w:numPr>
          <w:ilvl w:val="0"/>
          <w:numId w:val="1"/>
        </w:numPr>
        <w:spacing w:line="360" w:lineRule="auto"/>
        <w:jc w:val="both"/>
        <w:rPr>
          <w:rFonts w:ascii="Arial" w:hAnsi="Arial" w:cs="Arial"/>
          <w:sz w:val="22"/>
        </w:rPr>
      </w:pPr>
      <w:r>
        <w:rPr>
          <w:rFonts w:ascii="Arial" w:hAnsi="Arial" w:cs="Arial"/>
          <w:b/>
          <w:bCs/>
          <w:sz w:val="22"/>
        </w:rPr>
        <w:t>Phase de promesse d’apport</w:t>
      </w:r>
      <w:r>
        <w:rPr>
          <w:rFonts w:ascii="Arial" w:hAnsi="Arial" w:cs="Arial"/>
          <w:sz w:val="22"/>
        </w:rPr>
        <w:t xml:space="preserve"> : on constate et on différencie les promesses d’apport. Ecriture : </w:t>
      </w:r>
      <w:r>
        <w:rPr>
          <w:rFonts w:ascii="Arial" w:hAnsi="Arial" w:cs="Arial"/>
          <w:b/>
          <w:bCs/>
          <w:sz w:val="22"/>
        </w:rPr>
        <w:t>comptes 4561</w:t>
      </w:r>
      <w:proofErr w:type="gramStart"/>
      <w:r>
        <w:rPr>
          <w:rFonts w:ascii="Arial" w:hAnsi="Arial" w:cs="Arial"/>
          <w:b/>
          <w:bCs/>
          <w:sz w:val="22"/>
        </w:rPr>
        <w:t>..</w:t>
      </w:r>
      <w:proofErr w:type="gramEnd"/>
      <w:r>
        <w:rPr>
          <w:rFonts w:ascii="Arial" w:hAnsi="Arial" w:cs="Arial"/>
          <w:b/>
          <w:bCs/>
          <w:sz w:val="22"/>
        </w:rPr>
        <w:t xml:space="preserve"> à 1011</w:t>
      </w:r>
      <w:r>
        <w:rPr>
          <w:rFonts w:ascii="Arial" w:hAnsi="Arial" w:cs="Arial"/>
          <w:sz w:val="22"/>
        </w:rPr>
        <w:t>.</w:t>
      </w:r>
    </w:p>
    <w:p w:rsidR="00AA2C82" w:rsidRDefault="00DF751D">
      <w:pPr>
        <w:numPr>
          <w:ilvl w:val="0"/>
          <w:numId w:val="1"/>
        </w:numPr>
        <w:spacing w:line="360" w:lineRule="auto"/>
        <w:jc w:val="both"/>
        <w:rPr>
          <w:rFonts w:ascii="Arial" w:hAnsi="Arial" w:cs="Arial"/>
          <w:b/>
          <w:bCs/>
          <w:sz w:val="22"/>
        </w:rPr>
      </w:pPr>
      <w:r>
        <w:rPr>
          <w:rFonts w:ascii="Arial" w:hAnsi="Arial" w:cs="Arial"/>
          <w:b/>
          <w:bCs/>
          <w:sz w:val="22"/>
        </w:rPr>
        <w:t>Conditions de libération des apports et du capital </w:t>
      </w:r>
      <w:r>
        <w:rPr>
          <w:rFonts w:ascii="Arial" w:hAnsi="Arial" w:cs="Arial"/>
          <w:sz w:val="22"/>
        </w:rPr>
        <w:t xml:space="preserve">: les promesses deviennent définitives. Ecriture : </w:t>
      </w:r>
      <w:r>
        <w:rPr>
          <w:rFonts w:ascii="Arial" w:hAnsi="Arial" w:cs="Arial"/>
          <w:b/>
          <w:bCs/>
          <w:sz w:val="22"/>
        </w:rPr>
        <w:t>solde des comptes 4561</w:t>
      </w:r>
      <w:proofErr w:type="gramStart"/>
      <w:r>
        <w:rPr>
          <w:rFonts w:ascii="Arial" w:hAnsi="Arial" w:cs="Arial"/>
          <w:b/>
          <w:bCs/>
          <w:sz w:val="22"/>
        </w:rPr>
        <w:t>..</w:t>
      </w:r>
      <w:proofErr w:type="gramEnd"/>
      <w:r>
        <w:rPr>
          <w:rFonts w:ascii="Arial" w:hAnsi="Arial" w:cs="Arial"/>
          <w:b/>
          <w:bCs/>
          <w:sz w:val="22"/>
        </w:rPr>
        <w:t xml:space="preserve"> par 4562 et 109 si besoin</w:t>
      </w:r>
      <w:r>
        <w:rPr>
          <w:rFonts w:ascii="Arial" w:hAnsi="Arial" w:cs="Arial"/>
          <w:sz w:val="22"/>
        </w:rPr>
        <w:t xml:space="preserve">, puis </w:t>
      </w:r>
      <w:r>
        <w:rPr>
          <w:rFonts w:ascii="Arial" w:hAnsi="Arial" w:cs="Arial"/>
          <w:b/>
          <w:bCs/>
          <w:sz w:val="22"/>
        </w:rPr>
        <w:t>1011 à 1012 pour le montant libéré.</w:t>
      </w:r>
    </w:p>
    <w:p w:rsidR="00AA2C82" w:rsidRDefault="00DF751D">
      <w:pPr>
        <w:numPr>
          <w:ilvl w:val="0"/>
          <w:numId w:val="1"/>
        </w:numPr>
        <w:spacing w:line="360" w:lineRule="auto"/>
        <w:jc w:val="both"/>
        <w:rPr>
          <w:rFonts w:ascii="Arial" w:hAnsi="Arial" w:cs="Arial"/>
          <w:sz w:val="22"/>
        </w:rPr>
      </w:pPr>
      <w:r>
        <w:rPr>
          <w:rFonts w:ascii="Arial" w:hAnsi="Arial" w:cs="Arial"/>
          <w:b/>
          <w:bCs/>
          <w:sz w:val="22"/>
        </w:rPr>
        <w:t>Libération</w:t>
      </w:r>
      <w:r>
        <w:rPr>
          <w:rFonts w:ascii="Arial" w:hAnsi="Arial" w:cs="Arial"/>
          <w:sz w:val="22"/>
        </w:rPr>
        <w:t xml:space="preserve"> : constatation des apports pour ce qui a été libéré. Ecriture : </w:t>
      </w:r>
      <w:r>
        <w:rPr>
          <w:rFonts w:ascii="Arial" w:hAnsi="Arial" w:cs="Arial"/>
          <w:b/>
          <w:bCs/>
          <w:sz w:val="22"/>
        </w:rPr>
        <w:t>comptes des différents apports (</w:t>
      </w:r>
      <w:proofErr w:type="spellStart"/>
      <w:r>
        <w:rPr>
          <w:rFonts w:ascii="Arial" w:hAnsi="Arial" w:cs="Arial"/>
          <w:b/>
          <w:bCs/>
          <w:sz w:val="22"/>
        </w:rPr>
        <w:t>immo</w:t>
      </w:r>
      <w:proofErr w:type="spellEnd"/>
      <w:r>
        <w:rPr>
          <w:rFonts w:ascii="Arial" w:hAnsi="Arial" w:cs="Arial"/>
          <w:b/>
          <w:bCs/>
          <w:sz w:val="22"/>
        </w:rPr>
        <w:t>, banque) à 4562</w:t>
      </w:r>
      <w:r>
        <w:rPr>
          <w:rFonts w:ascii="Arial" w:hAnsi="Arial" w:cs="Arial"/>
          <w:sz w:val="22"/>
        </w:rPr>
        <w:t xml:space="preserve">, puis </w:t>
      </w:r>
      <w:r>
        <w:rPr>
          <w:rFonts w:ascii="Arial" w:hAnsi="Arial" w:cs="Arial"/>
          <w:b/>
          <w:bCs/>
          <w:sz w:val="22"/>
        </w:rPr>
        <w:t>1012 à1013</w:t>
      </w:r>
      <w:r>
        <w:rPr>
          <w:rFonts w:ascii="Arial" w:hAnsi="Arial" w:cs="Arial"/>
          <w:sz w:val="22"/>
        </w:rPr>
        <w:t>.</w:t>
      </w:r>
    </w:p>
    <w:p w:rsidR="00AA2C82" w:rsidRDefault="00DF751D">
      <w:pPr>
        <w:numPr>
          <w:ilvl w:val="0"/>
          <w:numId w:val="1"/>
        </w:numPr>
        <w:spacing w:line="360" w:lineRule="auto"/>
        <w:jc w:val="both"/>
        <w:rPr>
          <w:rFonts w:ascii="Arial" w:hAnsi="Arial" w:cs="Arial"/>
          <w:sz w:val="22"/>
        </w:rPr>
      </w:pPr>
      <w:r>
        <w:rPr>
          <w:rFonts w:ascii="Arial" w:hAnsi="Arial" w:cs="Arial"/>
          <w:b/>
          <w:bCs/>
          <w:sz w:val="22"/>
        </w:rPr>
        <w:t>Les frais </w:t>
      </w:r>
      <w:r>
        <w:rPr>
          <w:rFonts w:ascii="Arial" w:hAnsi="Arial" w:cs="Arial"/>
          <w:sz w:val="22"/>
        </w:rPr>
        <w:t>: ils peuvent être mis en charge ou en immobilisation.</w:t>
      </w:r>
    </w:p>
    <w:p w:rsidR="00AA2C82" w:rsidRDefault="00DF751D">
      <w:pPr>
        <w:spacing w:line="360" w:lineRule="auto"/>
        <w:jc w:val="center"/>
        <w:rPr>
          <w:rFonts w:ascii="Arial" w:hAnsi="Arial" w:cs="Arial"/>
          <w:color w:val="FF00FF"/>
          <w:sz w:val="36"/>
        </w:rPr>
      </w:pPr>
      <w:r>
        <w:rPr>
          <w:rFonts w:ascii="Arial" w:hAnsi="Arial" w:cs="Arial"/>
          <w:sz w:val="22"/>
        </w:rPr>
        <w:br w:type="page"/>
      </w:r>
      <w:r>
        <w:rPr>
          <w:rFonts w:ascii="Arial" w:hAnsi="Arial" w:cs="Arial"/>
          <w:color w:val="FF00FF"/>
          <w:sz w:val="36"/>
        </w:rPr>
        <w:lastRenderedPageBreak/>
        <w:t>Partie 3 : L’affectation du résultat</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sz w:val="22"/>
        </w:rPr>
      </w:pPr>
      <w:r>
        <w:rPr>
          <w:rFonts w:ascii="Arial" w:hAnsi="Arial" w:cs="Arial"/>
          <w:sz w:val="22"/>
        </w:rPr>
        <w:t>L’affectation du résultat amène 3 problèmes :</w:t>
      </w:r>
    </w:p>
    <w:p w:rsidR="00AA2C82" w:rsidRDefault="00DF751D">
      <w:pPr>
        <w:numPr>
          <w:ilvl w:val="0"/>
          <w:numId w:val="1"/>
        </w:numPr>
        <w:spacing w:line="360" w:lineRule="auto"/>
        <w:jc w:val="both"/>
        <w:rPr>
          <w:rFonts w:ascii="Arial" w:hAnsi="Arial" w:cs="Arial"/>
          <w:sz w:val="22"/>
        </w:rPr>
      </w:pPr>
      <w:r>
        <w:rPr>
          <w:rFonts w:ascii="Arial" w:hAnsi="Arial" w:cs="Arial"/>
          <w:sz w:val="22"/>
        </w:rPr>
        <w:t>l’impôt sur les bénéfices ;</w:t>
      </w:r>
    </w:p>
    <w:p w:rsidR="00AA2C82" w:rsidRDefault="00DF751D">
      <w:pPr>
        <w:numPr>
          <w:ilvl w:val="0"/>
          <w:numId w:val="1"/>
        </w:numPr>
        <w:spacing w:line="360" w:lineRule="auto"/>
        <w:jc w:val="both"/>
        <w:rPr>
          <w:rFonts w:ascii="Arial" w:hAnsi="Arial" w:cs="Arial"/>
          <w:sz w:val="22"/>
        </w:rPr>
      </w:pPr>
      <w:r>
        <w:rPr>
          <w:rFonts w:ascii="Arial" w:hAnsi="Arial" w:cs="Arial"/>
          <w:sz w:val="22"/>
        </w:rPr>
        <w:t>l’intéressement ;</w:t>
      </w:r>
    </w:p>
    <w:p w:rsidR="00AA2C82" w:rsidRDefault="00DF751D">
      <w:pPr>
        <w:numPr>
          <w:ilvl w:val="0"/>
          <w:numId w:val="1"/>
        </w:numPr>
        <w:spacing w:line="360" w:lineRule="auto"/>
        <w:jc w:val="both"/>
        <w:rPr>
          <w:rFonts w:ascii="Arial" w:hAnsi="Arial" w:cs="Arial"/>
          <w:sz w:val="22"/>
        </w:rPr>
      </w:pPr>
      <w:r>
        <w:rPr>
          <w:rFonts w:ascii="Arial" w:hAnsi="Arial" w:cs="Arial"/>
          <w:sz w:val="22"/>
        </w:rPr>
        <w:t>la répartition.</w:t>
      </w:r>
    </w:p>
    <w:p w:rsidR="00AA2C82" w:rsidRDefault="00AA2C82">
      <w:pPr>
        <w:spacing w:line="360" w:lineRule="auto"/>
        <w:jc w:val="both"/>
        <w:rPr>
          <w:rFonts w:ascii="Arial" w:hAnsi="Arial" w:cs="Arial"/>
          <w:sz w:val="22"/>
        </w:rPr>
      </w:pPr>
    </w:p>
    <w:p w:rsidR="00AA2C82" w:rsidRDefault="00DF751D">
      <w:pPr>
        <w:pStyle w:val="Heading1"/>
        <w:rPr>
          <w:b w:val="0"/>
          <w:bCs w:val="0"/>
          <w:color w:val="FF00FF"/>
        </w:rPr>
      </w:pPr>
      <w:r>
        <w:rPr>
          <w:b w:val="0"/>
          <w:bCs w:val="0"/>
          <w:color w:val="FF00FF"/>
        </w:rPr>
        <w:t>Chapitre 1 : L’impôt société</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sz w:val="22"/>
        </w:rPr>
      </w:pPr>
      <w:r>
        <w:rPr>
          <w:rFonts w:ascii="Arial" w:hAnsi="Arial" w:cs="Arial"/>
          <w:sz w:val="22"/>
        </w:rPr>
        <w:t xml:space="preserve">Peut avoir </w:t>
      </w:r>
      <w:r>
        <w:rPr>
          <w:rFonts w:ascii="Arial" w:hAnsi="Arial" w:cs="Arial"/>
          <w:b/>
          <w:bCs/>
          <w:sz w:val="22"/>
        </w:rPr>
        <w:t>2 types d’imposition</w:t>
      </w:r>
      <w:r>
        <w:rPr>
          <w:rFonts w:ascii="Arial" w:hAnsi="Arial" w:cs="Arial"/>
          <w:sz w:val="22"/>
        </w:rPr>
        <w:t xml:space="preserve"> : </w:t>
      </w:r>
      <w:r>
        <w:rPr>
          <w:rFonts w:ascii="Arial" w:hAnsi="Arial" w:cs="Arial"/>
          <w:b/>
          <w:bCs/>
          <w:sz w:val="22"/>
        </w:rPr>
        <w:t>l’impôt sur le revenu</w:t>
      </w:r>
      <w:r>
        <w:rPr>
          <w:rFonts w:ascii="Arial" w:hAnsi="Arial" w:cs="Arial"/>
          <w:sz w:val="22"/>
        </w:rPr>
        <w:t xml:space="preserve"> pour les sociétés de personne (la société apparaît neutre fiscalement et ce sont directement les associés qui sont imposés au titre du bénéfice qu’a fait la société. Déclaration faite dans la catégorie des BIC). Puis il y a </w:t>
      </w:r>
      <w:r>
        <w:rPr>
          <w:rFonts w:ascii="Arial" w:hAnsi="Arial" w:cs="Arial"/>
          <w:b/>
          <w:bCs/>
          <w:sz w:val="22"/>
        </w:rPr>
        <w:t>l’impôt société</w:t>
      </w:r>
      <w:r>
        <w:rPr>
          <w:rFonts w:ascii="Arial" w:hAnsi="Arial" w:cs="Arial"/>
          <w:sz w:val="22"/>
        </w:rPr>
        <w:t>, dans ce cas, c’est la société qui fait la déclaration de revenu et c’est elle qui paye l’impôt au nom des associés.</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color w:val="FF00FF"/>
          <w:sz w:val="28"/>
        </w:rPr>
      </w:pPr>
      <w:r>
        <w:rPr>
          <w:rFonts w:ascii="Arial" w:hAnsi="Arial" w:cs="Arial"/>
          <w:sz w:val="22"/>
        </w:rPr>
        <w:tab/>
      </w:r>
      <w:r>
        <w:rPr>
          <w:rFonts w:ascii="Arial" w:hAnsi="Arial" w:cs="Arial"/>
          <w:color w:val="FF00FF"/>
          <w:sz w:val="28"/>
        </w:rPr>
        <w:t>Section 1 : Le calcul</w:t>
      </w:r>
    </w:p>
    <w:p w:rsidR="00AA2C82" w:rsidRDefault="00DF751D">
      <w:pPr>
        <w:pStyle w:val="BodyText"/>
      </w:pPr>
      <w:r>
        <w:t>Le taux actuel est de 33 1/3%. Certaines PME peuvent avoir un taux réduit de 15% dans la limite de 38 120 EUR de bénéfice. L’assiette de cet impôt est le résultat fiscal.</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color w:val="FF00FF"/>
          <w:sz w:val="28"/>
        </w:rPr>
      </w:pPr>
      <w:r>
        <w:rPr>
          <w:rFonts w:ascii="Arial" w:hAnsi="Arial" w:cs="Arial"/>
          <w:sz w:val="22"/>
        </w:rPr>
        <w:tab/>
      </w:r>
      <w:r>
        <w:rPr>
          <w:rFonts w:ascii="Arial" w:hAnsi="Arial" w:cs="Arial"/>
          <w:color w:val="FF00FF"/>
          <w:sz w:val="28"/>
        </w:rPr>
        <w:t>Section 2 : Le paiement de l’impôt</w:t>
      </w:r>
    </w:p>
    <w:p w:rsidR="00AA2C82" w:rsidRDefault="00DF751D">
      <w:pPr>
        <w:pStyle w:val="BodyText"/>
      </w:pPr>
      <w:r>
        <w:t>A la différence de l’IR, l’IS est payé l’année de son calcul. 4 acomptes, ainsi qu’un solde sont payés.</w:t>
      </w:r>
    </w:p>
    <w:p w:rsidR="00AA2C82" w:rsidRDefault="00AA2C82">
      <w:pPr>
        <w:pStyle w:val="BodyText"/>
      </w:pPr>
    </w:p>
    <w:tbl>
      <w:tblPr>
        <w:tblW w:w="0" w:type="auto"/>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0"/>
        <w:gridCol w:w="1860"/>
        <w:gridCol w:w="1800"/>
      </w:tblGrid>
      <w:tr w:rsidR="00AA2C82">
        <w:tc>
          <w:tcPr>
            <w:tcW w:w="1740" w:type="dxa"/>
            <w:tcBorders>
              <w:top w:val="nil"/>
              <w:left w:val="nil"/>
            </w:tcBorders>
          </w:tcPr>
          <w:p w:rsidR="00AA2C82" w:rsidRDefault="00AA2C82">
            <w:pPr>
              <w:spacing w:line="360" w:lineRule="auto"/>
              <w:jc w:val="both"/>
              <w:rPr>
                <w:rFonts w:ascii="Arial" w:hAnsi="Arial" w:cs="Arial"/>
                <w:sz w:val="22"/>
              </w:rPr>
            </w:pPr>
          </w:p>
        </w:tc>
        <w:tc>
          <w:tcPr>
            <w:tcW w:w="1860" w:type="dxa"/>
          </w:tcPr>
          <w:p w:rsidR="00AA2C82" w:rsidRDefault="00DF751D">
            <w:pPr>
              <w:spacing w:line="360" w:lineRule="auto"/>
              <w:jc w:val="center"/>
              <w:rPr>
                <w:rFonts w:ascii="Arial" w:hAnsi="Arial" w:cs="Arial"/>
                <w:sz w:val="22"/>
              </w:rPr>
            </w:pPr>
            <w:r>
              <w:rPr>
                <w:rFonts w:ascii="Arial" w:hAnsi="Arial" w:cs="Arial"/>
                <w:sz w:val="22"/>
              </w:rPr>
              <w:t>Exigibilité</w:t>
            </w:r>
          </w:p>
        </w:tc>
        <w:tc>
          <w:tcPr>
            <w:tcW w:w="1800" w:type="dxa"/>
          </w:tcPr>
          <w:p w:rsidR="00AA2C82" w:rsidRDefault="00DF751D">
            <w:pPr>
              <w:spacing w:line="360" w:lineRule="auto"/>
              <w:jc w:val="center"/>
              <w:rPr>
                <w:rFonts w:ascii="Arial" w:hAnsi="Arial" w:cs="Arial"/>
                <w:sz w:val="22"/>
              </w:rPr>
            </w:pPr>
            <w:r>
              <w:rPr>
                <w:rFonts w:ascii="Arial" w:hAnsi="Arial" w:cs="Arial"/>
                <w:sz w:val="22"/>
              </w:rPr>
              <w:t>Date limite de paiement</w:t>
            </w:r>
          </w:p>
        </w:tc>
      </w:tr>
      <w:tr w:rsidR="00AA2C82">
        <w:tc>
          <w:tcPr>
            <w:tcW w:w="1740" w:type="dxa"/>
          </w:tcPr>
          <w:p w:rsidR="00AA2C82" w:rsidRDefault="00DF751D">
            <w:pPr>
              <w:spacing w:line="360" w:lineRule="auto"/>
              <w:jc w:val="both"/>
              <w:rPr>
                <w:rFonts w:ascii="Arial" w:hAnsi="Arial" w:cs="Arial"/>
                <w:sz w:val="22"/>
              </w:rPr>
            </w:pPr>
            <w:r>
              <w:rPr>
                <w:rFonts w:ascii="Arial" w:hAnsi="Arial" w:cs="Arial"/>
                <w:sz w:val="22"/>
              </w:rPr>
              <w:t>Acompte 1 (N)</w:t>
            </w:r>
          </w:p>
        </w:tc>
        <w:tc>
          <w:tcPr>
            <w:tcW w:w="1860" w:type="dxa"/>
          </w:tcPr>
          <w:p w:rsidR="00AA2C82" w:rsidRDefault="00DF751D">
            <w:pPr>
              <w:spacing w:line="360" w:lineRule="auto"/>
              <w:jc w:val="center"/>
              <w:rPr>
                <w:rFonts w:ascii="Arial" w:hAnsi="Arial" w:cs="Arial"/>
                <w:sz w:val="22"/>
              </w:rPr>
            </w:pPr>
            <w:r>
              <w:rPr>
                <w:rFonts w:ascii="Arial" w:hAnsi="Arial" w:cs="Arial"/>
                <w:sz w:val="22"/>
              </w:rPr>
              <w:t>20/02</w:t>
            </w:r>
          </w:p>
        </w:tc>
        <w:tc>
          <w:tcPr>
            <w:tcW w:w="1800" w:type="dxa"/>
          </w:tcPr>
          <w:p w:rsidR="00AA2C82" w:rsidRDefault="00DF751D">
            <w:pPr>
              <w:spacing w:line="360" w:lineRule="auto"/>
              <w:jc w:val="center"/>
              <w:rPr>
                <w:rFonts w:ascii="Arial" w:hAnsi="Arial" w:cs="Arial"/>
                <w:sz w:val="22"/>
              </w:rPr>
            </w:pPr>
            <w:r>
              <w:rPr>
                <w:rFonts w:ascii="Arial" w:hAnsi="Arial" w:cs="Arial"/>
                <w:sz w:val="22"/>
              </w:rPr>
              <w:t>15/03</w:t>
            </w:r>
          </w:p>
        </w:tc>
      </w:tr>
      <w:tr w:rsidR="00AA2C82">
        <w:tc>
          <w:tcPr>
            <w:tcW w:w="1740" w:type="dxa"/>
          </w:tcPr>
          <w:p w:rsidR="00AA2C82" w:rsidRDefault="00DF751D">
            <w:pPr>
              <w:spacing w:line="360" w:lineRule="auto"/>
              <w:jc w:val="both"/>
              <w:rPr>
                <w:rFonts w:ascii="Arial" w:hAnsi="Arial" w:cs="Arial"/>
                <w:sz w:val="22"/>
              </w:rPr>
            </w:pPr>
            <w:r>
              <w:rPr>
                <w:rFonts w:ascii="Arial" w:hAnsi="Arial" w:cs="Arial"/>
                <w:sz w:val="22"/>
              </w:rPr>
              <w:t>Acompte 2 (N)</w:t>
            </w:r>
          </w:p>
        </w:tc>
        <w:tc>
          <w:tcPr>
            <w:tcW w:w="1860" w:type="dxa"/>
          </w:tcPr>
          <w:p w:rsidR="00AA2C82" w:rsidRDefault="00DF751D">
            <w:pPr>
              <w:spacing w:line="360" w:lineRule="auto"/>
              <w:jc w:val="center"/>
              <w:rPr>
                <w:rFonts w:ascii="Arial" w:hAnsi="Arial" w:cs="Arial"/>
                <w:sz w:val="22"/>
              </w:rPr>
            </w:pPr>
            <w:r>
              <w:rPr>
                <w:rFonts w:ascii="Arial" w:hAnsi="Arial" w:cs="Arial"/>
                <w:sz w:val="22"/>
              </w:rPr>
              <w:t>20/05</w:t>
            </w:r>
          </w:p>
        </w:tc>
        <w:tc>
          <w:tcPr>
            <w:tcW w:w="1800" w:type="dxa"/>
          </w:tcPr>
          <w:p w:rsidR="00AA2C82" w:rsidRDefault="00DF751D">
            <w:pPr>
              <w:spacing w:line="360" w:lineRule="auto"/>
              <w:jc w:val="center"/>
              <w:rPr>
                <w:rFonts w:ascii="Arial" w:hAnsi="Arial" w:cs="Arial"/>
                <w:sz w:val="22"/>
              </w:rPr>
            </w:pPr>
            <w:r>
              <w:rPr>
                <w:rFonts w:ascii="Arial" w:hAnsi="Arial" w:cs="Arial"/>
                <w:sz w:val="22"/>
              </w:rPr>
              <w:t>15/06</w:t>
            </w:r>
          </w:p>
        </w:tc>
      </w:tr>
      <w:tr w:rsidR="00AA2C82">
        <w:tc>
          <w:tcPr>
            <w:tcW w:w="1740" w:type="dxa"/>
          </w:tcPr>
          <w:p w:rsidR="00AA2C82" w:rsidRDefault="00DF751D">
            <w:pPr>
              <w:spacing w:line="360" w:lineRule="auto"/>
              <w:jc w:val="both"/>
              <w:rPr>
                <w:rFonts w:ascii="Arial" w:hAnsi="Arial" w:cs="Arial"/>
                <w:sz w:val="22"/>
              </w:rPr>
            </w:pPr>
            <w:r>
              <w:rPr>
                <w:rFonts w:ascii="Arial" w:hAnsi="Arial" w:cs="Arial"/>
                <w:sz w:val="22"/>
              </w:rPr>
              <w:t>Acompte 3 (N)</w:t>
            </w:r>
          </w:p>
        </w:tc>
        <w:tc>
          <w:tcPr>
            <w:tcW w:w="1860" w:type="dxa"/>
          </w:tcPr>
          <w:p w:rsidR="00AA2C82" w:rsidRDefault="00DF751D">
            <w:pPr>
              <w:spacing w:line="360" w:lineRule="auto"/>
              <w:jc w:val="center"/>
              <w:rPr>
                <w:rFonts w:ascii="Arial" w:hAnsi="Arial" w:cs="Arial"/>
                <w:sz w:val="22"/>
              </w:rPr>
            </w:pPr>
            <w:r>
              <w:rPr>
                <w:rFonts w:ascii="Arial" w:hAnsi="Arial" w:cs="Arial"/>
                <w:sz w:val="22"/>
              </w:rPr>
              <w:t>20/08</w:t>
            </w:r>
          </w:p>
        </w:tc>
        <w:tc>
          <w:tcPr>
            <w:tcW w:w="1800" w:type="dxa"/>
          </w:tcPr>
          <w:p w:rsidR="00AA2C82" w:rsidRDefault="00DF751D">
            <w:pPr>
              <w:spacing w:line="360" w:lineRule="auto"/>
              <w:jc w:val="center"/>
              <w:rPr>
                <w:rFonts w:ascii="Arial" w:hAnsi="Arial" w:cs="Arial"/>
                <w:sz w:val="22"/>
              </w:rPr>
            </w:pPr>
            <w:r>
              <w:rPr>
                <w:rFonts w:ascii="Arial" w:hAnsi="Arial" w:cs="Arial"/>
                <w:sz w:val="22"/>
              </w:rPr>
              <w:t>15/09</w:t>
            </w:r>
          </w:p>
        </w:tc>
      </w:tr>
      <w:tr w:rsidR="00AA2C82">
        <w:tc>
          <w:tcPr>
            <w:tcW w:w="1740" w:type="dxa"/>
          </w:tcPr>
          <w:p w:rsidR="00AA2C82" w:rsidRDefault="00DF751D">
            <w:pPr>
              <w:spacing w:line="360" w:lineRule="auto"/>
              <w:jc w:val="both"/>
              <w:rPr>
                <w:rFonts w:ascii="Arial" w:hAnsi="Arial" w:cs="Arial"/>
                <w:sz w:val="22"/>
              </w:rPr>
            </w:pPr>
            <w:r>
              <w:rPr>
                <w:rFonts w:ascii="Arial" w:hAnsi="Arial" w:cs="Arial"/>
                <w:sz w:val="22"/>
              </w:rPr>
              <w:t>Acompte 4 (N)</w:t>
            </w:r>
          </w:p>
        </w:tc>
        <w:tc>
          <w:tcPr>
            <w:tcW w:w="1860" w:type="dxa"/>
          </w:tcPr>
          <w:p w:rsidR="00AA2C82" w:rsidRDefault="00DF751D">
            <w:pPr>
              <w:spacing w:line="360" w:lineRule="auto"/>
              <w:jc w:val="center"/>
              <w:rPr>
                <w:rFonts w:ascii="Arial" w:hAnsi="Arial" w:cs="Arial"/>
                <w:sz w:val="22"/>
                <w:lang w:val="nl-NL"/>
              </w:rPr>
            </w:pPr>
            <w:r>
              <w:rPr>
                <w:rFonts w:ascii="Arial" w:hAnsi="Arial" w:cs="Arial"/>
                <w:sz w:val="22"/>
                <w:lang w:val="nl-NL"/>
              </w:rPr>
              <w:t>20/11</w:t>
            </w:r>
          </w:p>
        </w:tc>
        <w:tc>
          <w:tcPr>
            <w:tcW w:w="1800" w:type="dxa"/>
          </w:tcPr>
          <w:p w:rsidR="00AA2C82" w:rsidRDefault="00DF751D">
            <w:pPr>
              <w:spacing w:line="360" w:lineRule="auto"/>
              <w:jc w:val="center"/>
              <w:rPr>
                <w:rFonts w:ascii="Arial" w:hAnsi="Arial" w:cs="Arial"/>
                <w:sz w:val="22"/>
                <w:lang w:val="nl-NL"/>
              </w:rPr>
            </w:pPr>
            <w:r>
              <w:rPr>
                <w:rFonts w:ascii="Arial" w:hAnsi="Arial" w:cs="Arial"/>
                <w:sz w:val="22"/>
                <w:lang w:val="nl-NL"/>
              </w:rPr>
              <w:t>15/12</w:t>
            </w:r>
          </w:p>
        </w:tc>
      </w:tr>
      <w:tr w:rsidR="00AA2C82">
        <w:tc>
          <w:tcPr>
            <w:tcW w:w="1740" w:type="dxa"/>
          </w:tcPr>
          <w:p w:rsidR="00AA2C82" w:rsidRDefault="00DF751D">
            <w:pPr>
              <w:spacing w:line="360" w:lineRule="auto"/>
              <w:jc w:val="both"/>
              <w:rPr>
                <w:rFonts w:ascii="Arial" w:hAnsi="Arial" w:cs="Arial"/>
                <w:sz w:val="22"/>
                <w:lang w:val="nl-NL"/>
              </w:rPr>
            </w:pPr>
            <w:r>
              <w:rPr>
                <w:rFonts w:ascii="Arial" w:hAnsi="Arial" w:cs="Arial"/>
                <w:sz w:val="22"/>
                <w:lang w:val="nl-NL"/>
              </w:rPr>
              <w:t>Solde (N+1)</w:t>
            </w:r>
          </w:p>
        </w:tc>
        <w:tc>
          <w:tcPr>
            <w:tcW w:w="1860" w:type="dxa"/>
          </w:tcPr>
          <w:p w:rsidR="00AA2C82" w:rsidRDefault="00DF751D">
            <w:pPr>
              <w:spacing w:line="360" w:lineRule="auto"/>
              <w:jc w:val="center"/>
              <w:rPr>
                <w:rFonts w:ascii="Arial" w:hAnsi="Arial" w:cs="Arial"/>
                <w:sz w:val="22"/>
                <w:lang w:val="nl-NL"/>
              </w:rPr>
            </w:pPr>
            <w:r>
              <w:rPr>
                <w:rFonts w:ascii="Arial" w:hAnsi="Arial" w:cs="Arial"/>
                <w:sz w:val="22"/>
                <w:lang w:val="nl-NL"/>
              </w:rPr>
              <w:t>31/03/N+1</w:t>
            </w:r>
          </w:p>
        </w:tc>
        <w:tc>
          <w:tcPr>
            <w:tcW w:w="1800" w:type="dxa"/>
          </w:tcPr>
          <w:p w:rsidR="00AA2C82" w:rsidRDefault="00DF751D">
            <w:pPr>
              <w:spacing w:line="360" w:lineRule="auto"/>
              <w:jc w:val="center"/>
              <w:rPr>
                <w:rFonts w:ascii="Arial" w:hAnsi="Arial" w:cs="Arial"/>
                <w:sz w:val="22"/>
                <w:lang w:val="nl-NL"/>
              </w:rPr>
            </w:pPr>
            <w:r>
              <w:rPr>
                <w:rFonts w:ascii="Arial" w:hAnsi="Arial" w:cs="Arial"/>
                <w:sz w:val="22"/>
                <w:lang w:val="nl-NL"/>
              </w:rPr>
              <w:t>15/04/N+1</w:t>
            </w:r>
          </w:p>
        </w:tc>
      </w:tr>
    </w:tbl>
    <w:p w:rsidR="00AA2C82" w:rsidRDefault="00AA2C82">
      <w:pPr>
        <w:spacing w:line="360" w:lineRule="auto"/>
        <w:jc w:val="both"/>
        <w:rPr>
          <w:rFonts w:ascii="Arial" w:hAnsi="Arial" w:cs="Arial"/>
          <w:sz w:val="22"/>
          <w:lang w:val="nl-NL"/>
        </w:rPr>
      </w:pPr>
    </w:p>
    <w:p w:rsidR="00AA2C82" w:rsidRDefault="00DF751D">
      <w:pPr>
        <w:spacing w:line="360" w:lineRule="auto"/>
        <w:ind w:left="708" w:firstLine="708"/>
        <w:jc w:val="both"/>
        <w:rPr>
          <w:rFonts w:ascii="Arial" w:hAnsi="Arial" w:cs="Arial"/>
          <w:color w:val="FF00FF"/>
        </w:rPr>
      </w:pPr>
      <w:r>
        <w:rPr>
          <w:rFonts w:ascii="Arial" w:hAnsi="Arial" w:cs="Arial"/>
          <w:color w:val="FF00FF"/>
        </w:rPr>
        <w:t>I – Le calcul des acomptes</w:t>
      </w:r>
    </w:p>
    <w:p w:rsidR="00AA2C82" w:rsidRDefault="00DF751D">
      <w:pPr>
        <w:spacing w:line="360" w:lineRule="auto"/>
        <w:jc w:val="both"/>
        <w:rPr>
          <w:rFonts w:ascii="Arial" w:hAnsi="Arial" w:cs="Arial"/>
          <w:b/>
          <w:bCs/>
          <w:sz w:val="22"/>
        </w:rPr>
      </w:pPr>
      <w:r>
        <w:rPr>
          <w:rFonts w:ascii="Arial" w:hAnsi="Arial" w:cs="Arial"/>
          <w:b/>
          <w:bCs/>
          <w:sz w:val="22"/>
        </w:rPr>
        <w:t>Acompte = ¼ IS de référence = ¼ X 1/3 du bénéfice de référence</w:t>
      </w:r>
    </w:p>
    <w:p w:rsidR="00AA2C82" w:rsidRDefault="00DF751D">
      <w:pPr>
        <w:spacing w:line="360" w:lineRule="auto"/>
        <w:jc w:val="both"/>
        <w:rPr>
          <w:rFonts w:ascii="Arial" w:hAnsi="Arial" w:cs="Arial"/>
          <w:sz w:val="22"/>
        </w:rPr>
      </w:pPr>
      <w:r>
        <w:rPr>
          <w:rFonts w:ascii="Arial" w:hAnsi="Arial" w:cs="Arial"/>
          <w:sz w:val="22"/>
        </w:rPr>
        <w:t>Pour les entreprises nouvelles, on utilise comme résultat de référence 5% du capital appelé versé. Pour les entreprises existantes, on retient le résultat connu à la date de l’acompte.</w:t>
      </w:r>
    </w:p>
    <w:p w:rsidR="00AA2C82" w:rsidRDefault="00DF751D">
      <w:pPr>
        <w:spacing w:line="360" w:lineRule="auto"/>
        <w:jc w:val="both"/>
        <w:rPr>
          <w:rFonts w:ascii="Arial" w:hAnsi="Arial" w:cs="Arial"/>
          <w:sz w:val="22"/>
        </w:rPr>
      </w:pPr>
      <w:r>
        <w:rPr>
          <w:rFonts w:ascii="Arial" w:hAnsi="Arial" w:cs="Arial"/>
          <w:sz w:val="22"/>
        </w:rPr>
        <w:t xml:space="preserve">A chaque acompte, écriture : </w:t>
      </w:r>
      <w:r>
        <w:rPr>
          <w:rFonts w:ascii="Arial" w:hAnsi="Arial" w:cs="Arial"/>
          <w:b/>
          <w:bCs/>
          <w:sz w:val="22"/>
        </w:rPr>
        <w:t>444 à 512</w:t>
      </w:r>
      <w:r>
        <w:rPr>
          <w:rFonts w:ascii="Arial" w:hAnsi="Arial" w:cs="Arial"/>
          <w:sz w:val="22"/>
        </w:rPr>
        <w:t>.</w:t>
      </w:r>
    </w:p>
    <w:p w:rsidR="00AA2C82" w:rsidRDefault="00AA2C82">
      <w:pPr>
        <w:spacing w:line="360" w:lineRule="auto"/>
        <w:jc w:val="both"/>
        <w:rPr>
          <w:rFonts w:ascii="Arial" w:hAnsi="Arial" w:cs="Arial"/>
          <w:sz w:val="22"/>
        </w:rPr>
      </w:pPr>
    </w:p>
    <w:p w:rsidR="00AA2C82" w:rsidRDefault="00DF751D">
      <w:pPr>
        <w:spacing w:line="360" w:lineRule="auto"/>
        <w:ind w:left="1416" w:firstLine="708"/>
        <w:jc w:val="both"/>
        <w:rPr>
          <w:rFonts w:ascii="Arial" w:hAnsi="Arial" w:cs="Arial"/>
          <w:color w:val="FF00FF"/>
        </w:rPr>
      </w:pPr>
      <w:r>
        <w:rPr>
          <w:rFonts w:ascii="Arial" w:hAnsi="Arial" w:cs="Arial"/>
          <w:color w:val="FF00FF"/>
        </w:rPr>
        <w:t>II – Le calcul du solde</w:t>
      </w:r>
    </w:p>
    <w:p w:rsidR="00AA2C82" w:rsidRDefault="00DF751D">
      <w:pPr>
        <w:pStyle w:val="BodyText"/>
      </w:pPr>
      <w:r>
        <w:lastRenderedPageBreak/>
        <w:t xml:space="preserve">On calcul </w:t>
      </w:r>
      <w:r>
        <w:rPr>
          <w:b/>
          <w:bCs/>
        </w:rPr>
        <w:t>l’IS correspondant à l’exercice</w:t>
      </w:r>
      <w:r>
        <w:t xml:space="preserve"> et enregistrement du compte </w:t>
      </w:r>
      <w:r>
        <w:rPr>
          <w:b/>
          <w:bCs/>
        </w:rPr>
        <w:t>695 à 444</w:t>
      </w:r>
      <w:r>
        <w:t xml:space="preserve">. Puis calcul du </w:t>
      </w:r>
      <w:r>
        <w:rPr>
          <w:b/>
          <w:bCs/>
        </w:rPr>
        <w:t>solde</w:t>
      </w:r>
      <w:r>
        <w:t xml:space="preserve"> en déduisant du montant de l’IS de l’exercice la somme des acomptes versés et comptabilisation du montant à payer du compte </w:t>
      </w:r>
      <w:r>
        <w:rPr>
          <w:b/>
          <w:bCs/>
        </w:rPr>
        <w:t>444 à 512</w:t>
      </w:r>
      <w:r>
        <w:t>. Peut arriver que l’entreprise ait payé plus d’IS qu’elle ne doit, dans ce cas, imputation ou remboursement.</w:t>
      </w:r>
    </w:p>
    <w:p w:rsidR="00AA2C82" w:rsidRDefault="00AA2C82">
      <w:pPr>
        <w:pStyle w:val="BodyText"/>
      </w:pPr>
    </w:p>
    <w:p w:rsidR="00AA2C82" w:rsidRDefault="00DF751D">
      <w:pPr>
        <w:pStyle w:val="BodyText"/>
        <w:rPr>
          <w:color w:val="FF00FF"/>
          <w:sz w:val="32"/>
        </w:rPr>
      </w:pPr>
      <w:r>
        <w:rPr>
          <w:color w:val="FF00FF"/>
          <w:sz w:val="32"/>
        </w:rPr>
        <w:t>Chapitre 2 : Intéressement et participation</w:t>
      </w:r>
    </w:p>
    <w:p w:rsidR="00AA2C82" w:rsidRDefault="00DF751D">
      <w:pPr>
        <w:pStyle w:val="BodyText"/>
        <w:rPr>
          <w:color w:val="00CCFF"/>
          <w:sz w:val="28"/>
        </w:rPr>
      </w:pPr>
      <w:r>
        <w:rPr>
          <w:color w:val="FF00FF"/>
        </w:rPr>
        <w:tab/>
      </w:r>
      <w:r>
        <w:rPr>
          <w:color w:val="FF00FF"/>
          <w:sz w:val="28"/>
        </w:rPr>
        <w:t>Section 1 : La participation légale</w:t>
      </w:r>
    </w:p>
    <w:p w:rsidR="00AA2C82" w:rsidRDefault="00DF751D">
      <w:pPr>
        <w:pStyle w:val="BodyText"/>
      </w:pPr>
      <w:r>
        <w:t xml:space="preserve">Elle s’applique </w:t>
      </w:r>
      <w:r>
        <w:rPr>
          <w:b/>
          <w:bCs/>
        </w:rPr>
        <w:t>à toutes les entreprises qui dépassent 50 salariés et 3 ans d’existence (obligatoire)</w:t>
      </w:r>
      <w:r>
        <w:t xml:space="preserve">. L’entreprise doit passer un </w:t>
      </w:r>
      <w:r>
        <w:rPr>
          <w:b/>
          <w:bCs/>
        </w:rPr>
        <w:t>accord signé avec les salariés afin de préciser les modalités</w:t>
      </w:r>
      <w:r>
        <w:t>. Souvent accord de droit commun, c’est-à-dire qu’on s’en tient au minimum légal. Les entreprises peuvent aller au-delà du minimum légal, on parle d’accord dérogatoire.</w:t>
      </w:r>
    </w:p>
    <w:p w:rsidR="00AA2C82" w:rsidRDefault="00AA2C82">
      <w:pPr>
        <w:pStyle w:val="BodyText"/>
      </w:pPr>
    </w:p>
    <w:p w:rsidR="00AA2C82" w:rsidRDefault="00DF751D">
      <w:pPr>
        <w:pStyle w:val="BodyText"/>
        <w:rPr>
          <w:color w:val="FF00FF"/>
          <w:sz w:val="28"/>
        </w:rPr>
      </w:pPr>
      <w:r>
        <w:tab/>
      </w:r>
      <w:r>
        <w:rPr>
          <w:color w:val="FF00FF"/>
          <w:sz w:val="28"/>
        </w:rPr>
        <w:t>Section 2 : Principe de fonctionnement</w:t>
      </w:r>
    </w:p>
    <w:p w:rsidR="00AA2C82" w:rsidRDefault="00DF751D">
      <w:pPr>
        <w:pStyle w:val="BodyText"/>
      </w:pPr>
      <w:r>
        <w:t xml:space="preserve">Chaque année, un montant global de participation est calculé en fonction du résultat de l’exercice. Le montant par salarié est calculé proportionnellement au salaire ou bien il est réparti en fonction du salaire et de l’ancienneté. </w:t>
      </w:r>
    </w:p>
    <w:p w:rsidR="00AA2C82" w:rsidRDefault="00DF751D">
      <w:pPr>
        <w:pStyle w:val="BodyText"/>
      </w:pPr>
      <w:r>
        <w:rPr>
          <w:b/>
          <w:bCs/>
        </w:rPr>
        <w:t>%touché par le travailleur = rémunération salarié (plafonnée) / total des rémunérations (plafonné).</w:t>
      </w:r>
      <w:r>
        <w:t xml:space="preserve"> Plafond = 4 fois plafond annuel SS.</w:t>
      </w:r>
    </w:p>
    <w:p w:rsidR="00AA2C82" w:rsidRDefault="00DF751D">
      <w:pPr>
        <w:pStyle w:val="BodyText"/>
      </w:pPr>
      <w:r>
        <w:t xml:space="preserve">Le montant global est mis dans la </w:t>
      </w:r>
      <w:r>
        <w:rPr>
          <w:b/>
          <w:bCs/>
        </w:rPr>
        <w:t>réserve spéciale de participation</w:t>
      </w:r>
      <w:r>
        <w:t xml:space="preserve">, l’entreprise inscrit une dette envers les salariés. La participation est bloquée pendant 5 ans. De plus, elle est fiscalement déductible et elle est exonérée d’un certain nombre de charges au niveau des salariés. </w:t>
      </w:r>
    </w:p>
    <w:p w:rsidR="00AA2C82" w:rsidRDefault="00DF751D">
      <w:pPr>
        <w:pStyle w:val="BodyText"/>
      </w:pPr>
      <w:r>
        <w:t>Les revenus des placements sont eux-mêmes exonérés de l’impôt et cotisations sociales s’ils restent bloqués. Quand la participation est perçue, elle est soumise à la CSG et CRDS.</w:t>
      </w:r>
    </w:p>
    <w:p w:rsidR="00AA2C82" w:rsidRDefault="00DF751D">
      <w:pPr>
        <w:pStyle w:val="BodyText"/>
      </w:pPr>
      <w:r>
        <w:t>Pendant la période de blocage, 4 solutions : attribution d’action de la société, créance rémunérée par la société, placement en OPCVM et compte courant bloqué.</w:t>
      </w:r>
    </w:p>
    <w:p w:rsidR="00AA2C82" w:rsidRDefault="00AA2C82">
      <w:pPr>
        <w:pStyle w:val="BodyText"/>
      </w:pPr>
    </w:p>
    <w:p w:rsidR="00AA2C82" w:rsidRDefault="00DF751D">
      <w:pPr>
        <w:pStyle w:val="BodyText"/>
        <w:rPr>
          <w:color w:val="FF00FF"/>
          <w:sz w:val="24"/>
        </w:rPr>
      </w:pPr>
      <w:r>
        <w:tab/>
      </w:r>
      <w:r>
        <w:rPr>
          <w:color w:val="FF00FF"/>
        </w:rPr>
        <w:tab/>
      </w:r>
      <w:r>
        <w:rPr>
          <w:color w:val="FF00FF"/>
          <w:sz w:val="24"/>
        </w:rPr>
        <w:t>I - Calcul</w:t>
      </w:r>
    </w:p>
    <w:p w:rsidR="00AA2C82" w:rsidRDefault="00DF751D">
      <w:pPr>
        <w:pStyle w:val="BodyText"/>
        <w:rPr>
          <w:b/>
          <w:bCs/>
        </w:rPr>
      </w:pPr>
      <w:r>
        <w:rPr>
          <w:b/>
          <w:bCs/>
        </w:rPr>
        <w:t xml:space="preserve">P = 50% (Bénéfice – 5% </w:t>
      </w:r>
      <w:proofErr w:type="gramStart"/>
      <w:r>
        <w:rPr>
          <w:b/>
          <w:bCs/>
        </w:rPr>
        <w:t>Capital(</w:t>
      </w:r>
      <w:proofErr w:type="gramEnd"/>
      <w:r>
        <w:rPr>
          <w:b/>
          <w:bCs/>
        </w:rPr>
        <w:t>capitaux propres)) X (Salaires/ Valeur ajoutée)</w:t>
      </w:r>
    </w:p>
    <w:p w:rsidR="00AA2C82" w:rsidRDefault="00AA2C82">
      <w:pPr>
        <w:pStyle w:val="BodyText"/>
      </w:pPr>
    </w:p>
    <w:p w:rsidR="00AA2C82" w:rsidRDefault="00DF751D">
      <w:pPr>
        <w:pStyle w:val="BodyText"/>
      </w:pPr>
      <w:r>
        <w:t>La valeur ajoutée = IS + Impôts et Taxes – DAP – Salaires et charges sociales – Charges financières nettes – Résultat</w:t>
      </w:r>
    </w:p>
    <w:p w:rsidR="00AA2C82" w:rsidRDefault="00AA2C82">
      <w:pPr>
        <w:pStyle w:val="BodyText"/>
      </w:pPr>
    </w:p>
    <w:p w:rsidR="00AA2C82" w:rsidRDefault="00DF751D">
      <w:pPr>
        <w:pStyle w:val="BodyText"/>
        <w:rPr>
          <w:color w:val="FF00FF"/>
          <w:sz w:val="24"/>
        </w:rPr>
      </w:pPr>
      <w:r>
        <w:tab/>
      </w:r>
      <w:r>
        <w:tab/>
      </w:r>
      <w:r>
        <w:rPr>
          <w:color w:val="FF00FF"/>
          <w:sz w:val="24"/>
        </w:rPr>
        <w:t>II - La comptabilisation</w:t>
      </w:r>
    </w:p>
    <w:p w:rsidR="00AA2C82" w:rsidRDefault="00DF751D">
      <w:pPr>
        <w:pStyle w:val="BodyText"/>
      </w:pPr>
      <w:r>
        <w:t xml:space="preserve">A la </w:t>
      </w:r>
      <w:r>
        <w:rPr>
          <w:b/>
          <w:bCs/>
        </w:rPr>
        <w:t>clôture de l’exercice</w:t>
      </w:r>
      <w:r>
        <w:t xml:space="preserve">, 691 à 4284 pour le montant de la participation. Ensuite, à la </w:t>
      </w:r>
      <w:r>
        <w:rPr>
          <w:b/>
          <w:bCs/>
        </w:rPr>
        <w:t>date de l’AGO</w:t>
      </w:r>
      <w:r>
        <w:t xml:space="preserve"> qui approuve les comptes solde du compte 4284 par les comptes 431 (montant participation X 95% X 10%) et 4246.</w:t>
      </w:r>
    </w:p>
    <w:p w:rsidR="00AA2C82" w:rsidRDefault="00DF751D">
      <w:pPr>
        <w:pStyle w:val="BodyText"/>
      </w:pPr>
      <w:r>
        <w:t>Après différents cas de figure :</w:t>
      </w:r>
    </w:p>
    <w:p w:rsidR="00AA2C82" w:rsidRDefault="00DF751D">
      <w:pPr>
        <w:pStyle w:val="BodyText"/>
        <w:numPr>
          <w:ilvl w:val="0"/>
          <w:numId w:val="1"/>
        </w:numPr>
      </w:pPr>
      <w:r>
        <w:rPr>
          <w:b/>
          <w:bCs/>
        </w:rPr>
        <w:t>Attribution d’action de la société </w:t>
      </w:r>
      <w:r>
        <w:t>: solde du compte 4246 par 502.</w:t>
      </w:r>
    </w:p>
    <w:p w:rsidR="00AA2C82" w:rsidRDefault="00DF751D">
      <w:pPr>
        <w:pStyle w:val="BodyText"/>
        <w:numPr>
          <w:ilvl w:val="0"/>
          <w:numId w:val="1"/>
        </w:numPr>
      </w:pPr>
      <w:r>
        <w:rPr>
          <w:b/>
          <w:bCs/>
        </w:rPr>
        <w:lastRenderedPageBreak/>
        <w:t>Versement à un organisme spécialisé </w:t>
      </w:r>
      <w:r>
        <w:t>: solde du compte 4246 par 512.</w:t>
      </w:r>
    </w:p>
    <w:p w:rsidR="00AA2C82" w:rsidRDefault="00DF751D">
      <w:pPr>
        <w:pStyle w:val="BodyText"/>
        <w:numPr>
          <w:ilvl w:val="0"/>
          <w:numId w:val="1"/>
        </w:numPr>
      </w:pPr>
      <w:r>
        <w:rPr>
          <w:b/>
          <w:bCs/>
        </w:rPr>
        <w:t>Créance sur la société </w:t>
      </w:r>
      <w:r>
        <w:t>: solde du compte 4246 par 1662 ou 1661.</w:t>
      </w:r>
    </w:p>
    <w:p w:rsidR="00AA2C82" w:rsidRDefault="00AA2C82">
      <w:pPr>
        <w:pStyle w:val="BodyText"/>
      </w:pPr>
    </w:p>
    <w:p w:rsidR="00AA2C82" w:rsidRDefault="00DF751D">
      <w:pPr>
        <w:pStyle w:val="BodyText"/>
        <w:ind w:left="1413" w:firstLine="3"/>
        <w:rPr>
          <w:color w:val="FF00FF"/>
          <w:sz w:val="24"/>
        </w:rPr>
      </w:pPr>
      <w:r>
        <w:rPr>
          <w:color w:val="FF00FF"/>
          <w:sz w:val="24"/>
        </w:rPr>
        <w:t>III - La provision pour investissement</w:t>
      </w:r>
    </w:p>
    <w:p w:rsidR="00AA2C82" w:rsidRDefault="00DF751D">
      <w:pPr>
        <w:pStyle w:val="BodyText"/>
      </w:pPr>
      <w:r>
        <w:t>Si l’entreprise a un accord dérogatoire et si attribution d’un montant de participation supérieur au montant légal, elle peut comptabiliser en franchise d’impôt une provision règlementée égale à 50% de la différence entre la participation de l’accord et la participation légale minimale. Cette provision (PPI) est comptabilisée (compte 6874 à 1424) l’année suivante et est déductible fiscalement. La PPI devra être reprise à l’issue du blocage.</w:t>
      </w:r>
    </w:p>
    <w:p w:rsidR="00AA2C82" w:rsidRDefault="00DF751D">
      <w:pPr>
        <w:pStyle w:val="BodyText"/>
      </w:pPr>
      <w:r>
        <w:t>Elle s’appelle PPI car l’entreprise doit avant fin N+2  faire un investissement d’un montant au moins équivalent.</w:t>
      </w:r>
    </w:p>
    <w:p w:rsidR="00AA2C82" w:rsidRDefault="00AA2C82">
      <w:pPr>
        <w:pStyle w:val="BodyText"/>
      </w:pPr>
    </w:p>
    <w:p w:rsidR="00AA2C82" w:rsidRDefault="00DF751D">
      <w:pPr>
        <w:pStyle w:val="BodyText"/>
        <w:rPr>
          <w:color w:val="FF00FF"/>
          <w:sz w:val="28"/>
        </w:rPr>
      </w:pPr>
      <w:r>
        <w:tab/>
      </w:r>
      <w:r>
        <w:rPr>
          <w:color w:val="FF00FF"/>
          <w:sz w:val="28"/>
        </w:rPr>
        <w:t>Section 3 : Les formules d’intéressement</w:t>
      </w:r>
    </w:p>
    <w:p w:rsidR="00AA2C82" w:rsidRDefault="00DF751D">
      <w:pPr>
        <w:pStyle w:val="BodyText"/>
      </w:pPr>
      <w:r>
        <w:t>Il s’agit de formules librement négociées entre l’entreprise et les représentants des salariés. Ces formules sont prises en compte par la législation ce qui permet d’accorder des avantages sociaux et fiscaux aux entreprises qui les applique. Différents avantages : intéressement déductible du résultat imposable, exonéré de charges sociales pour l’entreprise, exonération des charges sociales salariales sauf CSG et CRDS. Par contre c’est soumis à l’IR sauf si c’est versé dans un PEE.</w:t>
      </w:r>
    </w:p>
    <w:p w:rsidR="00AA2C82" w:rsidRDefault="00DF751D">
      <w:pPr>
        <w:pStyle w:val="BodyText"/>
      </w:pPr>
      <w:r>
        <w:t>Au niveau de la comptabilisation :</w:t>
      </w:r>
    </w:p>
    <w:p w:rsidR="00AA2C82" w:rsidRDefault="00DF751D">
      <w:pPr>
        <w:pStyle w:val="BodyText"/>
        <w:numPr>
          <w:ilvl w:val="0"/>
          <w:numId w:val="1"/>
        </w:numPr>
      </w:pPr>
      <w:r>
        <w:t>En N, compte 6414 à 4286 pour le montant global ;</w:t>
      </w:r>
    </w:p>
    <w:p w:rsidR="00AA2C82" w:rsidRDefault="00DF751D">
      <w:pPr>
        <w:pStyle w:val="BodyText"/>
        <w:numPr>
          <w:ilvl w:val="0"/>
          <w:numId w:val="1"/>
        </w:numPr>
      </w:pPr>
      <w:r>
        <w:t>En N+1, solde du compte 4286 par les comptes 431 (montant X 95% X 10%) et 421 ;</w:t>
      </w:r>
    </w:p>
    <w:p w:rsidR="00AA2C82" w:rsidRDefault="00DF751D">
      <w:pPr>
        <w:pStyle w:val="BodyText"/>
        <w:numPr>
          <w:ilvl w:val="0"/>
          <w:numId w:val="1"/>
        </w:numPr>
      </w:pPr>
      <w:r>
        <w:t xml:space="preserve">Solde du compte 421 par </w:t>
      </w:r>
      <w:proofErr w:type="gramStart"/>
      <w:r>
        <w:t>le compte</w:t>
      </w:r>
      <w:proofErr w:type="gramEnd"/>
      <w:r>
        <w:t xml:space="preserve"> 512 ou 4247.</w:t>
      </w:r>
    </w:p>
    <w:p w:rsidR="00AA2C82" w:rsidRDefault="00AA2C82">
      <w:pPr>
        <w:pStyle w:val="BodyText"/>
      </w:pPr>
    </w:p>
    <w:p w:rsidR="00AA2C82" w:rsidRDefault="00DF751D">
      <w:pPr>
        <w:pStyle w:val="BodyText"/>
        <w:ind w:left="705"/>
        <w:rPr>
          <w:color w:val="FF00FF"/>
          <w:sz w:val="28"/>
        </w:rPr>
      </w:pPr>
      <w:r>
        <w:rPr>
          <w:color w:val="FF00FF"/>
          <w:sz w:val="28"/>
        </w:rPr>
        <w:t>Section 4 : Le Plan d’épargne entreprise ou de groupe (PEE ou PEG)</w:t>
      </w:r>
    </w:p>
    <w:p w:rsidR="00AA2C82" w:rsidRDefault="00DF751D">
      <w:pPr>
        <w:pStyle w:val="BodyText"/>
      </w:pPr>
      <w:r>
        <w:t xml:space="preserve">C’est un </w:t>
      </w:r>
      <w:r>
        <w:rPr>
          <w:b/>
          <w:bCs/>
        </w:rPr>
        <w:t>système facultatif pour le salarié</w:t>
      </w:r>
      <w:r>
        <w:t>. Si le salarié décide de souscrire au PEE, il va bénéficier d’avantages et de l’aide de l’entreprise (=abondement). Il faut un accord qui prévoit la création d’un plan d’épargne qui va être alimenté par 3 sources possibles : versement volontaire des salariés ; les abondements de l’entreprise ; les sommes qui proviennent des formules de participation et/ou d’intéressement si l’accord le prévoit.</w:t>
      </w:r>
    </w:p>
    <w:p w:rsidR="00AA2C82" w:rsidRDefault="00DF751D">
      <w:pPr>
        <w:pStyle w:val="BodyText"/>
      </w:pPr>
      <w:r>
        <w:rPr>
          <w:b/>
          <w:bCs/>
        </w:rPr>
        <w:t>2 limites</w:t>
      </w:r>
      <w:r>
        <w:t> : les salariés ne peuvent pas verser plus d’un ¼ de leur rémunération brute annuelle totale et l’abondement de l’entreprise ne peut pas dépasser le triple de ces versements volontaires.</w:t>
      </w:r>
    </w:p>
    <w:p w:rsidR="00AA2C82" w:rsidRDefault="00DF751D">
      <w:pPr>
        <w:pStyle w:val="BodyText"/>
      </w:pPr>
      <w:r>
        <w:rPr>
          <w:b/>
          <w:bCs/>
        </w:rPr>
        <w:t>Avantages fiscaux et sociaux</w:t>
      </w:r>
      <w:r>
        <w:t> : pour l’entreprise l’abondement vient en moins du résultat imposable et c’est exonéré des charges sociales. Pour les salariés, l’abondement est exonéré des charges sociales salariales sauf CSG et CRDS. Les gains faits dans le cadre du PEE ne sont pas soumis à l’impôt s’ils sont replacés dans le PEE.</w:t>
      </w:r>
    </w:p>
    <w:p w:rsidR="00AA2C82" w:rsidRDefault="00DF751D">
      <w:pPr>
        <w:pStyle w:val="BodyText"/>
      </w:pPr>
      <w:r>
        <w:lastRenderedPageBreak/>
        <w:t>Les formules de participation et d’intéressement placées dans un PEE sont exonérées d’impôt.</w:t>
      </w:r>
    </w:p>
    <w:p w:rsidR="00AA2C82" w:rsidRDefault="00AA2C82">
      <w:pPr>
        <w:pStyle w:val="BodyText"/>
      </w:pPr>
    </w:p>
    <w:p w:rsidR="00AA2C82" w:rsidRDefault="00DF751D">
      <w:pPr>
        <w:pStyle w:val="BodyText"/>
      </w:pPr>
      <w:r>
        <w:t>Il existe aussi des formules d’actionnariat et des fonds de pension qui évoluent beaucoup.</w:t>
      </w:r>
    </w:p>
    <w:p w:rsidR="00AA2C82" w:rsidRDefault="00AA2C82">
      <w:pPr>
        <w:pStyle w:val="BodyText"/>
      </w:pPr>
    </w:p>
    <w:p w:rsidR="00AA2C82" w:rsidRDefault="00AA2C82">
      <w:pPr>
        <w:pStyle w:val="BodyText"/>
      </w:pPr>
    </w:p>
    <w:p w:rsidR="00AA2C82" w:rsidRDefault="00DF751D">
      <w:pPr>
        <w:pStyle w:val="BodyText"/>
        <w:rPr>
          <w:color w:val="FF00FF"/>
          <w:sz w:val="32"/>
        </w:rPr>
      </w:pPr>
      <w:r>
        <w:rPr>
          <w:color w:val="FF00FF"/>
          <w:sz w:val="32"/>
        </w:rPr>
        <w:t>Chapitre 3 : La répartition du résultat</w:t>
      </w:r>
    </w:p>
    <w:p w:rsidR="00AA2C82" w:rsidRDefault="00AA2C82">
      <w:pPr>
        <w:pStyle w:val="BodyText"/>
        <w:rPr>
          <w:color w:val="00CCFF"/>
        </w:rPr>
      </w:pPr>
    </w:p>
    <w:p w:rsidR="00AA2C82" w:rsidRDefault="00DF751D">
      <w:pPr>
        <w:pStyle w:val="BodyText"/>
      </w:pPr>
      <w:r>
        <w:t>Le résultat net doit être affecté car il faut que le compte de résultat soit ramené à 0. On peut soit distribuer le résultat aux associés, soit le conserver dans l’entreprise. Le résultat comptable mesure un gain en patrimoine, c’est-à-dire qu’il mesure la variation de valeur que l’entreprise a généré au cours d’une période au profit des associés.</w:t>
      </w:r>
    </w:p>
    <w:p w:rsidR="00AA2C82" w:rsidRDefault="00DF751D">
      <w:pPr>
        <w:pStyle w:val="BodyText"/>
      </w:pPr>
      <w:r>
        <w:t>L’affectation du résultat est décidée par l’AGO des associés qui approuvent les comptes et décident de la distribution ou non, cela sous 3 contraintes :</w:t>
      </w:r>
    </w:p>
    <w:p w:rsidR="00AA2C82" w:rsidRDefault="00DF751D">
      <w:pPr>
        <w:pStyle w:val="BodyText"/>
        <w:numPr>
          <w:ilvl w:val="0"/>
          <w:numId w:val="1"/>
        </w:numPr>
      </w:pPr>
      <w:r>
        <w:rPr>
          <w:b/>
          <w:bCs/>
        </w:rPr>
        <w:t>contrainte légale</w:t>
      </w:r>
      <w:r>
        <w:t xml:space="preserve"> : mise en réserves de 5% du résultat net dans la limite de 10% du capital social, c’est la </w:t>
      </w:r>
      <w:r>
        <w:rPr>
          <w:b/>
          <w:bCs/>
        </w:rPr>
        <w:t>réserve légale</w:t>
      </w:r>
      <w:r>
        <w:t>.</w:t>
      </w:r>
    </w:p>
    <w:p w:rsidR="00AA2C82" w:rsidRDefault="00DF751D">
      <w:pPr>
        <w:pStyle w:val="BodyText"/>
        <w:numPr>
          <w:ilvl w:val="0"/>
          <w:numId w:val="1"/>
        </w:numPr>
      </w:pPr>
      <w:r>
        <w:rPr>
          <w:b/>
          <w:bCs/>
        </w:rPr>
        <w:t>statuts </w:t>
      </w:r>
      <w:r>
        <w:t>: le contrat de société peuvent obliger l’AG à distribuer un dividende minimum, appelé intérêt statutaire, souvent calculé en % du capital. L’intérêt d’une telle clause est une garantie pour les actionnaires minoritaires. Peut avoir une réserve statutaire, ici montant minimum à mettre en réserve. Cette clause est contraire à l’intérêt des actionnaires.</w:t>
      </w:r>
    </w:p>
    <w:p w:rsidR="00AA2C82" w:rsidRDefault="00DF751D">
      <w:pPr>
        <w:pStyle w:val="BodyText"/>
        <w:numPr>
          <w:ilvl w:val="0"/>
          <w:numId w:val="1"/>
        </w:numPr>
      </w:pPr>
      <w:r>
        <w:rPr>
          <w:b/>
          <w:bCs/>
        </w:rPr>
        <w:t>les conditions économiques </w:t>
      </w:r>
      <w:r>
        <w:t>: la législation fiscale a généré toute sorte de distorsion dans le résultat.</w:t>
      </w:r>
    </w:p>
    <w:p w:rsidR="00AA2C82" w:rsidRDefault="00DF751D">
      <w:pPr>
        <w:pStyle w:val="BodyText"/>
        <w:numPr>
          <w:ilvl w:val="1"/>
          <w:numId w:val="1"/>
        </w:numPr>
      </w:pPr>
      <w:r>
        <w:rPr>
          <w:b/>
          <w:bCs/>
        </w:rPr>
        <w:t>Fiscales </w:t>
      </w:r>
      <w:r>
        <w:t>: obligation à faire des réserves pour avoir une économie d’impôt ;</w:t>
      </w:r>
    </w:p>
    <w:p w:rsidR="00AA2C82" w:rsidRDefault="00DF751D">
      <w:pPr>
        <w:pStyle w:val="BodyText"/>
        <w:numPr>
          <w:ilvl w:val="1"/>
          <w:numId w:val="1"/>
        </w:numPr>
      </w:pPr>
      <w:r>
        <w:rPr>
          <w:b/>
          <w:bCs/>
        </w:rPr>
        <w:t>Restrictions covenants (clauses restrictives) </w:t>
      </w:r>
      <w:r>
        <w:t>: entreprise qui s’interdit par exemple de distribuer des dividendes tant qu’elle n’a pas remboursé un emprunt. Une AG doit approuver ces clauses.</w:t>
      </w:r>
    </w:p>
    <w:p w:rsidR="00AA2C82" w:rsidRDefault="00DF751D">
      <w:pPr>
        <w:pStyle w:val="BodyText"/>
        <w:ind w:left="708"/>
        <w:rPr>
          <w:color w:val="FF00FF"/>
          <w:sz w:val="28"/>
        </w:rPr>
      </w:pPr>
      <w:r>
        <w:rPr>
          <w:color w:val="FF00FF"/>
          <w:sz w:val="28"/>
        </w:rPr>
        <w:t>Section 1 : Le Tableau d’affectation</w:t>
      </w:r>
    </w:p>
    <w:p w:rsidR="00AA2C82" w:rsidRDefault="00DF751D">
      <w:pPr>
        <w:pStyle w:val="BodyText"/>
      </w:pPr>
      <w:r>
        <w:t>L’affectation du résultat se fait tout le temps de la même manière.</w:t>
      </w:r>
    </w:p>
    <w:p w:rsidR="00AA2C82" w:rsidRDefault="00AA2C82">
      <w:pPr>
        <w:pStyle w:val="BodyText"/>
        <w:ind w:left="708"/>
      </w:pPr>
    </w:p>
    <w:p w:rsidR="00AA2C82" w:rsidRDefault="00DF751D">
      <w:pPr>
        <w:pStyle w:val="BodyText"/>
        <w:ind w:left="708"/>
      </w:pPr>
      <w:r>
        <w:t>Bénéfice net</w:t>
      </w:r>
    </w:p>
    <w:p w:rsidR="00AA2C82" w:rsidRDefault="00DF751D">
      <w:pPr>
        <w:pStyle w:val="BodyText"/>
        <w:numPr>
          <w:ilvl w:val="0"/>
          <w:numId w:val="1"/>
        </w:numPr>
      </w:pPr>
      <w:r>
        <w:t>Pertes reportées antérieures (RAN débiteur)</w:t>
      </w:r>
    </w:p>
    <w:p w:rsidR="00AA2C82" w:rsidRDefault="00DF751D">
      <w:pPr>
        <w:pStyle w:val="BodyText"/>
        <w:numPr>
          <w:ilvl w:val="0"/>
          <w:numId w:val="1"/>
        </w:numPr>
      </w:pPr>
      <w:r>
        <w:t>Réserve légale (5% (bénéfice net – RAN débiteur))</w:t>
      </w:r>
    </w:p>
    <w:p w:rsidR="00AA2C82" w:rsidRDefault="00DF751D">
      <w:pPr>
        <w:pStyle w:val="BodyText"/>
        <w:ind w:left="1080" w:hanging="375"/>
      </w:pPr>
      <w:r>
        <w:t>+</w:t>
      </w:r>
      <w:r>
        <w:tab/>
        <w:t>RAN créditeur</w:t>
      </w:r>
    </w:p>
    <w:p w:rsidR="00AA2C82" w:rsidRDefault="00DF751D">
      <w:pPr>
        <w:pStyle w:val="BodyText"/>
        <w:numPr>
          <w:ilvl w:val="0"/>
          <w:numId w:val="1"/>
        </w:numPr>
      </w:pPr>
      <w:r>
        <w:t>Réserves de toute nature (statutaires, réglementées, contractuelles, facultatives)</w:t>
      </w:r>
    </w:p>
    <w:p w:rsidR="00AA2C82" w:rsidRDefault="007E20EE">
      <w:pPr>
        <w:pStyle w:val="BodyText"/>
        <w:numPr>
          <w:ilvl w:val="0"/>
          <w:numId w:val="1"/>
        </w:numPr>
        <w:rPr>
          <w:b/>
          <w:bCs/>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1828800</wp:posOffset>
                </wp:positionH>
                <wp:positionV relativeFrom="paragraph">
                  <wp:posOffset>14605</wp:posOffset>
                </wp:positionV>
                <wp:extent cx="228600" cy="342900"/>
                <wp:effectExtent l="9525" t="5080" r="952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42900"/>
                        </a:xfrm>
                        <a:prstGeom prst="rightBrace">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in;margin-top:1.15pt;width:1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Cf2gQIAAC0FAAAOAAAAZHJzL2Uyb0RvYy54bWysVG1v0zAQ/o7Ef7D8vcvL0q6Nmk6jaRHS&#10;gEmDH+DaTmNw7GC7TTfEf+fspF3LviBEPjjn3OW5e87PeX57aCTac2OFVgVOrmKMuKKaCbUt8Ncv&#10;69EUI+uIYkRqxQv8xC2+Xbx9M+/anKe61pJxgwBE2bxrC1w71+ZRZGnNG2KvdMsVOCttGuJga7YR&#10;M6QD9EZGaRxPok4b1hpNubXwteydeBHwq4pT97mqLHdIFhhqc2E1Yd34NVrMSb41pK0FHcog/1BF&#10;Q4SCpCeokjiCdka8gmoENdrqyl1R3US6qgTlgQOwSeI/2DzWpOWBCzTHtqc22f8HSz/tHwwSrMAp&#10;Roo0cER3O6dDZpT69nStzSHqsX0wnqBt7zX9bsERXXj8xkIM2nQfNQMYAjChJYfKNP5PIIsOofNP&#10;p87zg0MUPqbpdBLD+VBwXWfpDGyfgeTHn1tj3XuuG+SNAhuxrd07Q6hvD8nJ/t660H42kCDsW4JR&#10;1Ug4zT2RKEnHPSYc0VkMkH6JgYhT3gERKjhm9vBKr4WUQTNSoa7As3E6DhVYLQXzTh9mzXazlAZB&#10;YmAanoHORZjRO8UCWM0JWw22I0L2NiSXyuNBlwZ+vl9BVj9n8Ww1XU2zUZZOVqMsLsvR3XqZjSbr&#10;5GZcXpfLZZn88qUlWV4Lxrjy1R0lnmR/J6Fh2HpxnkR+weKC7Do8r8lGl2WEowUux3dgF/TkJdRr&#10;bqPZE8jJ6H5m4Y4Bo9bmGaMO5rXA9seOGI6R/KBgIGZJlvkBD5tsfJPCxpx7NuceoihAFdhh1JtL&#10;118KuzZIC66ycKxK+2mohDvqva9qED/MZGAw3B9+6M/3Ierlllv8BgAA//8DAFBLAwQUAAYACAAA&#10;ACEAy+FNj98AAAAIAQAADwAAAGRycy9kb3ducmV2LnhtbEyPzU7DMBCE70i8g7VI3KhDAlWUxqkK&#10;iAs/QpRKqDcnduMIex3ZbhPenuUEtx3NaPabej07y046xMGjgOtFBkxj59WAvYDdx+NVCSwmiUpa&#10;j1rAt46wbs7PalkpP+G7Pm1Tz6gEYyUFmJTGivPYGe1kXPhRI3kHH5xMJEPPVZATlTvL8yxbcicH&#10;pA9Gjvre6O5re3QCDntT+KeXh+fWhc/Xnb3bvLVTL8TlxbxZAUt6Tn9h+MUndGiIqfVHVJFZAXlZ&#10;0pZERwGM/CK/Id0KuF0WwJua/x/Q/AAAAP//AwBQSwECLQAUAAYACAAAACEAtoM4kv4AAADhAQAA&#10;EwAAAAAAAAAAAAAAAAAAAAAAW0NvbnRlbnRfVHlwZXNdLnhtbFBLAQItABQABgAIAAAAIQA4/SH/&#10;1gAAAJQBAAALAAAAAAAAAAAAAAAAAC8BAABfcmVscy8ucmVsc1BLAQItABQABgAIAAAAIQBxlCf2&#10;gQIAAC0FAAAOAAAAAAAAAAAAAAAAAC4CAABkcnMvZTJvRG9jLnhtbFBLAQItABQABgAIAAAAIQDL&#10;4U2P3wAAAAgBAAAPAAAAAAAAAAAAAAAAANsEAABkcnMvZG93bnJldi54bWxQSwUGAAAAAAQABADz&#10;AAAA5wUAAAAA&#10;"/>
            </w:pict>
          </mc:Fallback>
        </mc:AlternateContent>
      </w:r>
      <w:r w:rsidR="00DF751D">
        <w:t>Intérêt statutaire</w:t>
      </w:r>
      <w:r w:rsidR="00DF751D">
        <w:tab/>
      </w:r>
      <w:r w:rsidR="00DF751D">
        <w:tab/>
      </w:r>
      <w:r w:rsidR="00DF751D">
        <w:rPr>
          <w:b/>
          <w:bCs/>
        </w:rPr>
        <w:t>Dividende</w:t>
      </w:r>
    </w:p>
    <w:p w:rsidR="00AA2C82" w:rsidRDefault="00DF751D">
      <w:pPr>
        <w:pStyle w:val="BodyText"/>
        <w:numPr>
          <w:ilvl w:val="0"/>
          <w:numId w:val="1"/>
        </w:numPr>
        <w:rPr>
          <w:b/>
          <w:bCs/>
        </w:rPr>
      </w:pPr>
      <w:r>
        <w:t>Super dividende</w:t>
      </w:r>
      <w:r>
        <w:tab/>
      </w:r>
      <w:r>
        <w:tab/>
        <w:t xml:space="preserve">    </w:t>
      </w:r>
      <w:r>
        <w:rPr>
          <w:b/>
          <w:bCs/>
        </w:rPr>
        <w:t>global</w:t>
      </w:r>
    </w:p>
    <w:p w:rsidR="00AA2C82" w:rsidRDefault="00DF751D">
      <w:pPr>
        <w:pStyle w:val="BodyText"/>
        <w:ind w:left="1080" w:hanging="360"/>
      </w:pPr>
      <w:r>
        <w:t>=</w:t>
      </w:r>
      <w:r>
        <w:tab/>
        <w:t>RAN</w:t>
      </w:r>
    </w:p>
    <w:p w:rsidR="00AA2C82" w:rsidRDefault="00AA2C82">
      <w:pPr>
        <w:pStyle w:val="BodyText"/>
        <w:ind w:left="1080" w:hanging="360"/>
      </w:pPr>
    </w:p>
    <w:p w:rsidR="00AA2C82" w:rsidRDefault="00DF751D">
      <w:pPr>
        <w:pStyle w:val="BodyText"/>
        <w:ind w:left="1080" w:hanging="360"/>
        <w:rPr>
          <w:color w:val="FF00FF"/>
          <w:sz w:val="28"/>
        </w:rPr>
      </w:pPr>
      <w:r>
        <w:rPr>
          <w:color w:val="FF00FF"/>
          <w:sz w:val="28"/>
        </w:rPr>
        <w:lastRenderedPageBreak/>
        <w:t>Section 2 : Comptabilisation</w:t>
      </w:r>
    </w:p>
    <w:p w:rsidR="00AA2C82" w:rsidRDefault="00DF751D">
      <w:pPr>
        <w:pStyle w:val="BodyText"/>
      </w:pPr>
      <w:r>
        <w:t>Débit des comptes 120 et 110 (si RAN créditeur) par crédit des comptes 1061 (réserve légale) ; 1064 (réserve réglementée) ; 1068 (réserve autre) ; 110 (RAN) ; 457 (actionnaires, dividendes à payer) en fonction de l’affectation.</w:t>
      </w:r>
    </w:p>
    <w:p w:rsidR="00AA2C82" w:rsidRDefault="00AA2C82">
      <w:pPr>
        <w:pStyle w:val="BodyText"/>
      </w:pPr>
    </w:p>
    <w:p w:rsidR="00AA2C82" w:rsidRDefault="00DF751D">
      <w:pPr>
        <w:pStyle w:val="BodyText"/>
        <w:rPr>
          <w:b/>
          <w:color w:val="FF00FF"/>
          <w:sz w:val="32"/>
          <w:szCs w:val="32"/>
        </w:rPr>
      </w:pPr>
      <w:r>
        <w:rPr>
          <w:color w:val="FF00FF"/>
          <w:sz w:val="32"/>
        </w:rPr>
        <w:t>Chapitre 4 : Les variations de capital</w:t>
      </w:r>
    </w:p>
    <w:p w:rsidR="00AA2C82" w:rsidRDefault="00AA2C82">
      <w:pPr>
        <w:spacing w:line="360" w:lineRule="auto"/>
        <w:jc w:val="both"/>
        <w:rPr>
          <w:rFonts w:ascii="Arial" w:hAnsi="Arial" w:cs="Arial"/>
          <w:b/>
          <w:sz w:val="22"/>
          <w:szCs w:val="32"/>
        </w:rPr>
      </w:pPr>
    </w:p>
    <w:p w:rsidR="00AA2C82" w:rsidRDefault="00DF751D">
      <w:pPr>
        <w:pStyle w:val="Corps"/>
        <w:spacing w:line="360" w:lineRule="auto"/>
      </w:pPr>
      <w:r>
        <w:t>Enregistrement des titres au capital social (KS) d’une société à leur valeur nominale (KS/</w:t>
      </w:r>
      <w:proofErr w:type="spellStart"/>
      <w:r>
        <w:t>Nbre</w:t>
      </w:r>
      <w:proofErr w:type="spellEnd"/>
      <w:r>
        <w:t xml:space="preserve"> titres).</w:t>
      </w:r>
    </w:p>
    <w:p w:rsidR="00AA2C82" w:rsidRDefault="00DF751D">
      <w:pPr>
        <w:pStyle w:val="Corps"/>
        <w:spacing w:line="360" w:lineRule="auto"/>
      </w:pPr>
      <w:r>
        <w:t>Le capital peut subir des modifications statutaires (↑ KS, ↓ KS, amortissement du KS).</w:t>
      </w:r>
    </w:p>
    <w:p w:rsidR="00AA2C82" w:rsidRDefault="00AA2C82">
      <w:pPr>
        <w:pStyle w:val="Corps"/>
        <w:spacing w:line="360" w:lineRule="auto"/>
      </w:pPr>
    </w:p>
    <w:p w:rsidR="00AA2C82" w:rsidRDefault="00DF751D">
      <w:pPr>
        <w:pStyle w:val="Corps"/>
        <w:spacing w:line="360" w:lineRule="auto"/>
        <w:ind w:firstLine="708"/>
        <w:rPr>
          <w:b/>
          <w:u w:val="single"/>
        </w:rPr>
      </w:pPr>
      <w:r>
        <w:rPr>
          <w:bCs/>
          <w:color w:val="FF00FF"/>
          <w:sz w:val="28"/>
        </w:rPr>
        <w:t>Section 1 : Les augmentations de capital</w:t>
      </w:r>
    </w:p>
    <w:p w:rsidR="00AA2C82" w:rsidRDefault="00DF751D">
      <w:pPr>
        <w:pStyle w:val="Corps"/>
        <w:spacing w:line="360" w:lineRule="auto"/>
        <w:ind w:left="708" w:firstLine="708"/>
        <w:rPr>
          <w:bCs/>
          <w:color w:val="FF00FF"/>
          <w:sz w:val="24"/>
        </w:rPr>
      </w:pPr>
      <w:r>
        <w:rPr>
          <w:bCs/>
          <w:color w:val="FF00FF"/>
          <w:sz w:val="24"/>
        </w:rPr>
        <w:t>I – Les Généralités</w:t>
      </w:r>
    </w:p>
    <w:p w:rsidR="00AA2C82" w:rsidRDefault="00DF751D">
      <w:pPr>
        <w:pStyle w:val="Corps"/>
        <w:spacing w:line="360" w:lineRule="auto"/>
        <w:rPr>
          <w:u w:val="single"/>
        </w:rPr>
      </w:pPr>
      <w:r>
        <w:rPr>
          <w:u w:val="single"/>
        </w:rPr>
        <w:t>Modalités</w:t>
      </w:r>
    </w:p>
    <w:p w:rsidR="00AA2C82" w:rsidRDefault="00DF751D">
      <w:pPr>
        <w:pStyle w:val="Corps"/>
        <w:numPr>
          <w:ilvl w:val="0"/>
          <w:numId w:val="4"/>
        </w:numPr>
        <w:spacing w:line="360" w:lineRule="auto"/>
      </w:pPr>
      <w:r>
        <w:rPr>
          <w:b/>
          <w:u w:val="single"/>
        </w:rPr>
        <w:t>apports nouveaux</w:t>
      </w:r>
      <w:r>
        <w:t xml:space="preserve"> : apports d’associés en nature ou numéraire (si KS totalement libéré), contre titres. Au bilan, </w:t>
      </w:r>
      <w:r>
        <w:rPr>
          <w:b/>
        </w:rPr>
        <w:t xml:space="preserve">↑ KP </w:t>
      </w:r>
      <w:r>
        <w:t>et</w:t>
      </w:r>
      <w:r>
        <w:rPr>
          <w:b/>
        </w:rPr>
        <w:t xml:space="preserve"> ↓ dettes / fonds propres</w:t>
      </w:r>
      <w:r>
        <w:t>.</w:t>
      </w:r>
    </w:p>
    <w:p w:rsidR="00AA2C82" w:rsidRDefault="00DF751D">
      <w:pPr>
        <w:pStyle w:val="Corps"/>
        <w:numPr>
          <w:ilvl w:val="0"/>
          <w:numId w:val="4"/>
        </w:numPr>
        <w:spacing w:line="360" w:lineRule="auto"/>
      </w:pPr>
      <w:r>
        <w:rPr>
          <w:b/>
          <w:u w:val="single"/>
        </w:rPr>
        <w:t>Incorporation de réserves</w:t>
      </w:r>
      <w:r>
        <w:t xml:space="preserve"> : transfert pure et simple d’1 montant des réserves vers le KS. Pas d’apports nouveaux mais création de titres gratuits. Au bilan, </w:t>
      </w:r>
      <w:r>
        <w:rPr>
          <w:b/>
        </w:rPr>
        <w:t xml:space="preserve">↑ KP </w:t>
      </w:r>
      <w:r>
        <w:t>et</w:t>
      </w:r>
      <w:r>
        <w:rPr>
          <w:b/>
        </w:rPr>
        <w:t xml:space="preserve"> dettes / fonds propres identiques</w:t>
      </w:r>
      <w:r>
        <w:t>.</w:t>
      </w:r>
    </w:p>
    <w:p w:rsidR="00AA2C82" w:rsidRDefault="00DF751D">
      <w:pPr>
        <w:pStyle w:val="Corps"/>
        <w:numPr>
          <w:ilvl w:val="0"/>
          <w:numId w:val="4"/>
        </w:numPr>
        <w:spacing w:line="360" w:lineRule="auto"/>
      </w:pPr>
      <w:r>
        <w:rPr>
          <w:b/>
          <w:u w:val="single"/>
        </w:rPr>
        <w:t>Incorporation de dettes</w:t>
      </w:r>
      <w:r>
        <w:t xml:space="preserve"> : Transformation des dettes en KS donc les créanciers deviennent associés avec obtention de nouveaux titres créés. Au bilan </w:t>
      </w:r>
      <w:r>
        <w:rPr>
          <w:b/>
        </w:rPr>
        <w:t xml:space="preserve">↑ KP </w:t>
      </w:r>
      <w:r>
        <w:t>et</w:t>
      </w:r>
      <w:r>
        <w:rPr>
          <w:b/>
        </w:rPr>
        <w:t xml:space="preserve"> ↓ dettes / fonds propres</w:t>
      </w:r>
      <w:r>
        <w:t>.</w:t>
      </w:r>
    </w:p>
    <w:p w:rsidR="00AA2C82" w:rsidRDefault="00AA2C82">
      <w:pPr>
        <w:pStyle w:val="Corps"/>
        <w:spacing w:line="360" w:lineRule="auto"/>
        <w:rPr>
          <w:b/>
          <w:u w:val="single"/>
        </w:rPr>
      </w:pPr>
    </w:p>
    <w:p w:rsidR="00AA2C82" w:rsidRDefault="00DF751D">
      <w:pPr>
        <w:pStyle w:val="Corps"/>
        <w:spacing w:line="360" w:lineRule="auto"/>
        <w:rPr>
          <w:u w:val="single"/>
        </w:rPr>
      </w:pPr>
      <w:r>
        <w:rPr>
          <w:u w:val="single"/>
        </w:rPr>
        <w:t>Techniques</w:t>
      </w:r>
    </w:p>
    <w:p w:rsidR="00AA2C82" w:rsidRDefault="00DF751D">
      <w:pPr>
        <w:pStyle w:val="Corps"/>
        <w:numPr>
          <w:ilvl w:val="0"/>
          <w:numId w:val="4"/>
        </w:numPr>
        <w:spacing w:line="360" w:lineRule="auto"/>
      </w:pPr>
      <w:r>
        <w:rPr>
          <w:b/>
          <w:u w:val="single"/>
        </w:rPr>
        <w:t>Augmentation du nombre de titres</w:t>
      </w:r>
      <w:r>
        <w:t xml:space="preserve"> (nouveaux « papiers » pour les associés). Technique </w:t>
      </w:r>
      <w:r>
        <w:rPr>
          <w:b/>
        </w:rPr>
        <w:t>la</w:t>
      </w:r>
      <w:r>
        <w:t xml:space="preserve"> </w:t>
      </w:r>
      <w:r>
        <w:rPr>
          <w:b/>
        </w:rPr>
        <w:t>plus utilisée.</w:t>
      </w:r>
    </w:p>
    <w:p w:rsidR="00AA2C82" w:rsidRDefault="00DF751D">
      <w:pPr>
        <w:pStyle w:val="Corps"/>
        <w:numPr>
          <w:ilvl w:val="0"/>
          <w:numId w:val="4"/>
        </w:numPr>
        <w:spacing w:line="360" w:lineRule="auto"/>
      </w:pPr>
      <w:r>
        <w:rPr>
          <w:b/>
          <w:u w:val="single"/>
        </w:rPr>
        <w:t>Augmentation du nominal</w:t>
      </w:r>
      <w:r>
        <w:t xml:space="preserve"> (KS=VN*</w:t>
      </w:r>
      <w:proofErr w:type="spellStart"/>
      <w:r>
        <w:t>Nbre</w:t>
      </w:r>
      <w:proofErr w:type="spellEnd"/>
      <w:r>
        <w:t xml:space="preserve"> titres). Oblige à réserver l’↑ aux anciens actionnaires donc choix à l’unanimité.</w:t>
      </w:r>
    </w:p>
    <w:p w:rsidR="00AA2C82" w:rsidRDefault="00DF751D">
      <w:pPr>
        <w:pStyle w:val="Corps"/>
        <w:numPr>
          <w:ilvl w:val="0"/>
          <w:numId w:val="4"/>
        </w:numPr>
        <w:spacing w:line="360" w:lineRule="auto"/>
      </w:pPr>
      <w:r>
        <w:rPr>
          <w:b/>
          <w:u w:val="single"/>
        </w:rPr>
        <w:t>Mélange</w:t>
      </w:r>
      <w:r>
        <w:t xml:space="preserve"> (</w:t>
      </w:r>
      <w:r>
        <w:rPr>
          <w:u w:val="single"/>
        </w:rPr>
        <w:t>ex</w:t>
      </w:r>
      <w:r>
        <w:t> : KS=2 000 titres*100€=200 000€ à augmenter à 600 000€ : ↑ de 1 000 titres soit ↑ KS de 100 000€ et  ↑ de 100€ la VN soit ↑ de 100*3 000=300 000€ =&gt; KS= 3 000 titres*200€=600 000€).</w:t>
      </w:r>
    </w:p>
    <w:p w:rsidR="00AA2C82" w:rsidRDefault="00AA2C82">
      <w:pPr>
        <w:pStyle w:val="Corps"/>
        <w:spacing w:line="360" w:lineRule="auto"/>
        <w:rPr>
          <w:b/>
          <w:u w:val="single"/>
        </w:rPr>
      </w:pPr>
    </w:p>
    <w:p w:rsidR="00AA2C82" w:rsidRDefault="00DF751D">
      <w:pPr>
        <w:pStyle w:val="Corps"/>
        <w:spacing w:line="360" w:lineRule="auto"/>
        <w:rPr>
          <w:u w:val="single"/>
        </w:rPr>
      </w:pPr>
      <w:r>
        <w:rPr>
          <w:u w:val="single"/>
        </w:rPr>
        <w:t>Objectifs</w:t>
      </w:r>
    </w:p>
    <w:p w:rsidR="00AA2C82" w:rsidRDefault="00DF751D">
      <w:pPr>
        <w:pStyle w:val="Corps"/>
        <w:numPr>
          <w:ilvl w:val="0"/>
          <w:numId w:val="4"/>
        </w:numPr>
        <w:spacing w:line="360" w:lineRule="auto"/>
      </w:pPr>
      <w:r>
        <w:t xml:space="preserve">se procurer des </w:t>
      </w:r>
      <w:r>
        <w:rPr>
          <w:b/>
        </w:rPr>
        <w:t>ressources supplémentaires</w:t>
      </w:r>
      <w:r>
        <w:t xml:space="preserve"> pour faire face à la croissance de l’entreprise ou pour se procurer des titres d’autres entreprises (croissance externe).</w:t>
      </w:r>
    </w:p>
    <w:p w:rsidR="00AA2C82" w:rsidRDefault="00DF751D">
      <w:pPr>
        <w:pStyle w:val="Corps"/>
        <w:numPr>
          <w:ilvl w:val="0"/>
          <w:numId w:val="4"/>
        </w:numPr>
        <w:spacing w:line="360" w:lineRule="auto"/>
      </w:pPr>
      <w:r>
        <w:t xml:space="preserve">Restaurer la </w:t>
      </w:r>
      <w:r>
        <w:rPr>
          <w:b/>
        </w:rPr>
        <w:t>capacité d’endettement</w:t>
      </w:r>
      <w:r>
        <w:t xml:space="preserve"> (dettes/fonds propres).</w:t>
      </w:r>
    </w:p>
    <w:p w:rsidR="00AA2C82" w:rsidRDefault="00DF751D">
      <w:pPr>
        <w:pStyle w:val="Corps"/>
        <w:numPr>
          <w:ilvl w:val="0"/>
          <w:numId w:val="4"/>
        </w:numPr>
        <w:spacing w:line="360" w:lineRule="auto"/>
      </w:pPr>
      <w:r>
        <w:t xml:space="preserve">Restaurer la structure financière saine après une série de pertes, on va </w:t>
      </w:r>
      <w:r>
        <w:rPr>
          <w:b/>
        </w:rPr>
        <w:t>apurer les pertes</w:t>
      </w:r>
      <w:r>
        <w:t xml:space="preserve"> accumulées. (Interdiction KP &lt; 1/2KS sinon AGE sur poursuite activité).</w:t>
      </w:r>
    </w:p>
    <w:p w:rsidR="00AA2C82" w:rsidRDefault="00DF751D">
      <w:pPr>
        <w:pStyle w:val="Corps"/>
        <w:numPr>
          <w:ilvl w:val="0"/>
          <w:numId w:val="4"/>
        </w:numPr>
        <w:spacing w:line="360" w:lineRule="auto"/>
      </w:pPr>
      <w:r>
        <w:lastRenderedPageBreak/>
        <w:t xml:space="preserve">Donner un </w:t>
      </w:r>
      <w:r>
        <w:rPr>
          <w:b/>
        </w:rPr>
        <w:t>bon signal au marché</w:t>
      </w:r>
      <w:r>
        <w:t>, surtout par incorporation de réserves car engagement de verser plus de dividendes.</w:t>
      </w:r>
    </w:p>
    <w:p w:rsidR="00AA2C82" w:rsidRDefault="00AA2C82">
      <w:pPr>
        <w:pStyle w:val="Corps"/>
        <w:spacing w:line="360" w:lineRule="auto"/>
      </w:pPr>
    </w:p>
    <w:p w:rsidR="00AA2C82" w:rsidRDefault="00DF751D">
      <w:pPr>
        <w:pStyle w:val="Corps"/>
        <w:spacing w:line="360" w:lineRule="auto"/>
        <w:ind w:left="1416"/>
        <w:rPr>
          <w:color w:val="FF00FF"/>
          <w:sz w:val="24"/>
        </w:rPr>
      </w:pPr>
      <w:r>
        <w:rPr>
          <w:color w:val="FF00FF"/>
          <w:sz w:val="24"/>
        </w:rPr>
        <w:t>II - Les augmentations de capital en numéraire et création d’actions nouvelles</w:t>
      </w:r>
    </w:p>
    <w:p w:rsidR="00AA2C82" w:rsidRDefault="00DF751D">
      <w:pPr>
        <w:pStyle w:val="Corps"/>
        <w:spacing w:line="360" w:lineRule="auto"/>
      </w:pPr>
      <w:r>
        <w:rPr>
          <w:u w:val="single"/>
        </w:rPr>
        <w:t>Prix d’émission et prime d’émission</w:t>
      </w:r>
      <w:r>
        <w:t xml:space="preserve"> (PE)</w:t>
      </w:r>
    </w:p>
    <w:p w:rsidR="00AA2C82" w:rsidRDefault="00DF751D">
      <w:pPr>
        <w:pStyle w:val="Corps"/>
        <w:spacing w:line="360" w:lineRule="auto"/>
      </w:pPr>
      <w:r>
        <w:t xml:space="preserve">Dans ce cas, l’↑ de capital s’interprète comme une </w:t>
      </w:r>
      <w:r>
        <w:rPr>
          <w:b/>
        </w:rPr>
        <w:t xml:space="preserve">vente de titres </w:t>
      </w:r>
      <w:r>
        <w:t xml:space="preserve">en échange d’argent. </w:t>
      </w:r>
    </w:p>
    <w:p w:rsidR="00AA2C82" w:rsidRDefault="00DF751D">
      <w:pPr>
        <w:pStyle w:val="Corps"/>
        <w:spacing w:line="360" w:lineRule="auto"/>
      </w:pPr>
      <w:r>
        <w:t xml:space="preserve">Il faut donc fixer le prix de cette vente qui est le </w:t>
      </w:r>
      <w:r>
        <w:rPr>
          <w:b/>
        </w:rPr>
        <w:t xml:space="preserve">prix d’émission </w:t>
      </w:r>
      <w:r>
        <w:t>(fixé par évaluation de l’entreprise, du marché, de la stratégie et d’aspects juridiques et fiscaux).</w:t>
      </w:r>
    </w:p>
    <w:p w:rsidR="00AA2C82" w:rsidRDefault="00DF751D">
      <w:pPr>
        <w:pStyle w:val="Corps"/>
        <w:spacing w:line="360" w:lineRule="auto"/>
      </w:pPr>
      <w:r>
        <w:t xml:space="preserve">La </w:t>
      </w:r>
      <w:r>
        <w:rPr>
          <w:b/>
        </w:rPr>
        <w:t>prime d’émission</w:t>
      </w:r>
      <w:r>
        <w:t xml:space="preserve"> correspond à </w:t>
      </w:r>
      <w:r>
        <w:rPr>
          <w:b/>
        </w:rPr>
        <w:t>prix d’émission – valeur nominale</w:t>
      </w:r>
      <w:r>
        <w:t xml:space="preserve">. </w:t>
      </w:r>
    </w:p>
    <w:p w:rsidR="00AA2C82" w:rsidRDefault="00DF751D">
      <w:pPr>
        <w:pStyle w:val="Corps"/>
        <w:spacing w:line="360" w:lineRule="auto"/>
      </w:pPr>
      <w:r>
        <w:t xml:space="preserve">Et la </w:t>
      </w:r>
      <w:r>
        <w:rPr>
          <w:b/>
        </w:rPr>
        <w:t xml:space="preserve">Prime d’émission globale </w:t>
      </w:r>
      <w:r>
        <w:t>=</w:t>
      </w:r>
      <w:r>
        <w:rPr>
          <w:b/>
        </w:rPr>
        <w:t xml:space="preserve"> prime d’émission </w:t>
      </w:r>
      <w:r>
        <w:t xml:space="preserve">* </w:t>
      </w:r>
      <w:proofErr w:type="spellStart"/>
      <w:r>
        <w:rPr>
          <w:b/>
        </w:rPr>
        <w:t>nbre</w:t>
      </w:r>
      <w:proofErr w:type="spellEnd"/>
      <w:r>
        <w:rPr>
          <w:b/>
        </w:rPr>
        <w:t xml:space="preserve"> titres nouveaux</w:t>
      </w:r>
      <w:r>
        <w:t>.</w:t>
      </w:r>
    </w:p>
    <w:p w:rsidR="00AA2C82" w:rsidRDefault="00AA2C82">
      <w:pPr>
        <w:pStyle w:val="Corps"/>
        <w:spacing w:line="360" w:lineRule="auto"/>
      </w:pPr>
    </w:p>
    <w:p w:rsidR="00AA2C82" w:rsidRDefault="00DF751D">
      <w:pPr>
        <w:pStyle w:val="Corps"/>
        <w:spacing w:line="360" w:lineRule="auto"/>
      </w:pPr>
      <w:r>
        <w:rPr>
          <w:u w:val="single"/>
        </w:rPr>
        <w:t>Droits Préférentiels de Souscription</w:t>
      </w:r>
      <w:r>
        <w:t xml:space="preserve"> (DPS)</w:t>
      </w:r>
    </w:p>
    <w:p w:rsidR="00AA2C82" w:rsidRDefault="00DF751D">
      <w:pPr>
        <w:pStyle w:val="Corps"/>
        <w:spacing w:line="360" w:lineRule="auto"/>
      </w:pPr>
      <w:r>
        <w:t xml:space="preserve">Le prix d’émission va avoir un impact sur la richesse des associés (anciens et nouveaux) par rapport à la valeur de marché des titres. </w:t>
      </w:r>
    </w:p>
    <w:p w:rsidR="00AA2C82" w:rsidRDefault="00DF751D">
      <w:pPr>
        <w:pStyle w:val="Corps"/>
        <w:spacing w:line="360" w:lineRule="auto"/>
      </w:pPr>
      <w:r>
        <w:t xml:space="preserve">En effet, si </w:t>
      </w:r>
      <w:r>
        <w:rPr>
          <w:b/>
        </w:rPr>
        <w:t>prix émission &lt; valeur de marché</w:t>
      </w:r>
      <w:r>
        <w:t xml:space="preserve">, </w:t>
      </w:r>
      <w:r>
        <w:rPr>
          <w:b/>
        </w:rPr>
        <w:t>anciens défavorisés</w:t>
      </w:r>
      <w:r>
        <w:t xml:space="preserve"> car le cours devrait chuter (moyenne titres anciens à valeur de marché avant et titres apportés au prix d’émission = valeur de marché après =&gt;</w:t>
      </w:r>
      <w:r>
        <w:rPr>
          <w:b/>
        </w:rPr>
        <w:t>valeur après – valeur avant = perte pour l’ancien</w:t>
      </w:r>
      <w:r>
        <w:t>)</w:t>
      </w:r>
    </w:p>
    <w:p w:rsidR="00AA2C82" w:rsidRDefault="00DF751D">
      <w:pPr>
        <w:pStyle w:val="Corps"/>
        <w:spacing w:line="360" w:lineRule="auto"/>
      </w:pPr>
      <w:r>
        <w:t xml:space="preserve">Pour éviter ce problème, on </w:t>
      </w:r>
      <w:r>
        <w:rPr>
          <w:b/>
        </w:rPr>
        <w:t>réserve l’augmentation de capital aux anciens associés</w:t>
      </w:r>
      <w:r>
        <w:t xml:space="preserve"> en leur donnant un </w:t>
      </w:r>
      <w:r>
        <w:rPr>
          <w:b/>
        </w:rPr>
        <w:t>DPS</w:t>
      </w:r>
      <w:r>
        <w:t xml:space="preserve"> par action ancienne (</w:t>
      </w:r>
      <w:r>
        <w:rPr>
          <w:u w:val="single"/>
        </w:rPr>
        <w:t>ex</w:t>
      </w:r>
      <w:r>
        <w:t> : si 2 000 titres anciens et création de 4 000 titres nouveaux, l’actionnaire va disposer d’1 DPS pour 2 actions nouvelles).</w:t>
      </w:r>
    </w:p>
    <w:p w:rsidR="00AA2C82" w:rsidRDefault="00AA2C82">
      <w:pPr>
        <w:pStyle w:val="Corps"/>
        <w:spacing w:line="360" w:lineRule="auto"/>
        <w:rPr>
          <w:b/>
        </w:rPr>
      </w:pPr>
    </w:p>
    <w:p w:rsidR="00AA2C82" w:rsidRDefault="00DF751D">
      <w:pPr>
        <w:pStyle w:val="Corps"/>
        <w:tabs>
          <w:tab w:val="left" w:pos="360"/>
        </w:tabs>
        <w:spacing w:line="360" w:lineRule="auto"/>
      </w:pPr>
      <w:r>
        <w:rPr>
          <w:b/>
        </w:rPr>
        <w:t xml:space="preserve">       Rapport d’échange</w:t>
      </w:r>
      <w:r>
        <w:t xml:space="preserve"> </w:t>
      </w:r>
      <w:r>
        <w:rPr>
          <w:b/>
        </w:rPr>
        <w:t>=</w:t>
      </w:r>
      <w:r>
        <w:rPr>
          <w:b/>
          <w:u w:val="single"/>
        </w:rPr>
        <w:t xml:space="preserve"> </w:t>
      </w:r>
      <w:proofErr w:type="spellStart"/>
      <w:r>
        <w:rPr>
          <w:b/>
          <w:u w:val="single"/>
        </w:rPr>
        <w:t>Nbre</w:t>
      </w:r>
      <w:proofErr w:type="spellEnd"/>
      <w:r>
        <w:rPr>
          <w:b/>
          <w:u w:val="single"/>
        </w:rPr>
        <w:t xml:space="preserve"> anciens</w:t>
      </w:r>
      <w:r>
        <w:t xml:space="preserve"> (=</w:t>
      </w:r>
      <w:proofErr w:type="spellStart"/>
      <w:r>
        <w:t>nbre</w:t>
      </w:r>
      <w:proofErr w:type="spellEnd"/>
      <w:r>
        <w:t xml:space="preserve"> DPS)</w:t>
      </w:r>
    </w:p>
    <w:p w:rsidR="00AA2C82" w:rsidRDefault="00DF751D">
      <w:pPr>
        <w:pStyle w:val="Corps"/>
        <w:spacing w:line="360" w:lineRule="auto"/>
        <w:rPr>
          <w:b/>
        </w:rPr>
      </w:pPr>
      <w:r>
        <w:tab/>
      </w:r>
      <w:r>
        <w:tab/>
      </w:r>
      <w:r>
        <w:rPr>
          <w:b/>
        </w:rPr>
        <w:t xml:space="preserve">       </w:t>
      </w:r>
      <w:r>
        <w:rPr>
          <w:b/>
        </w:rPr>
        <w:tab/>
        <w:t xml:space="preserve">       </w:t>
      </w:r>
      <w:proofErr w:type="spellStart"/>
      <w:r>
        <w:rPr>
          <w:b/>
        </w:rPr>
        <w:t>Nbre</w:t>
      </w:r>
      <w:proofErr w:type="spellEnd"/>
      <w:r>
        <w:rPr>
          <w:b/>
        </w:rPr>
        <w:t xml:space="preserve"> nouveaux</w:t>
      </w:r>
    </w:p>
    <w:p w:rsidR="00AA2C82" w:rsidRDefault="00AA2C82">
      <w:pPr>
        <w:pStyle w:val="Corps"/>
        <w:spacing w:line="360" w:lineRule="auto"/>
        <w:rPr>
          <w:b/>
        </w:rPr>
      </w:pPr>
    </w:p>
    <w:p w:rsidR="00AA2C82" w:rsidRDefault="00DF751D">
      <w:pPr>
        <w:pStyle w:val="Corps"/>
        <w:spacing w:line="360" w:lineRule="auto"/>
      </w:pPr>
      <w:r>
        <w:t xml:space="preserve">Les anciens actionnaires ne vont pas forcément vouloir participer à cette ↑ de capital donc les </w:t>
      </w:r>
      <w:r>
        <w:rPr>
          <w:b/>
        </w:rPr>
        <w:t>DPS sont négociables</w:t>
      </w:r>
      <w:r>
        <w:t>.</w:t>
      </w:r>
    </w:p>
    <w:p w:rsidR="00AA2C82" w:rsidRDefault="00DF751D">
      <w:pPr>
        <w:pStyle w:val="Corps"/>
        <w:spacing w:line="360" w:lineRule="auto"/>
      </w:pPr>
      <w:r>
        <w:t xml:space="preserve">La valeur d’1 </w:t>
      </w:r>
      <w:r>
        <w:rPr>
          <w:b/>
        </w:rPr>
        <w:t>DPS</w:t>
      </w:r>
      <w:r>
        <w:t xml:space="preserve"> correspond à la </w:t>
      </w:r>
      <w:r>
        <w:rPr>
          <w:b/>
        </w:rPr>
        <w:t>perte pour l’ancien</w:t>
      </w:r>
      <w:r>
        <w:t xml:space="preserve"> et pour le nouveau, ce montant augmentera le prix d’acquisition des titres.</w:t>
      </w:r>
    </w:p>
    <w:p w:rsidR="00AA2C82" w:rsidRDefault="00AA2C82">
      <w:pPr>
        <w:pStyle w:val="Corps"/>
        <w:spacing w:line="360" w:lineRule="auto"/>
      </w:pPr>
    </w:p>
    <w:p w:rsidR="00AA2C82" w:rsidRDefault="007E20EE">
      <w:pPr>
        <w:pStyle w:val="Corps"/>
        <w:spacing w:line="360" w:lineRule="auto"/>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86360</wp:posOffset>
                </wp:positionV>
                <wp:extent cx="0" cy="0"/>
                <wp:effectExtent l="9525" t="10160" r="9525"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8pt" to="36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5CwIAACIEAAAOAAAAZHJzL2Uyb0RvYy54bWysU8GO2jAQvVfqP1i+QxIWKESEVZVAL7RF&#10;2u0HGNshVh3bsg0BVf33jh2C2PZSVc3BGXtmnt/MG6+eL61EZ26d0KrA2TjFiCuqmVDHAn973Y4W&#10;GDlPFCNSK17gK3f4ef3+3aozOZ/oRkvGLQIQ5fLOFLjx3uRJ4mjDW+LG2nAFzlrblnjY2mPCLOkA&#10;vZXJJE3nSactM1ZT7hycVr0TryN+XXPqv9a14x7JAgM3H1cb10NYk/WK5EdLTCPojQb5BxYtEQou&#10;vUNVxBN0suIPqFZQq52u/ZjqNtF1LSiPNUA1WfpbNS8NMTzWAs1x5t4m9/9g6Zfz3iLBQDuMFGlB&#10;op1QHD2FznTG5RBQqr0NtdGLejE7Tb87pHTZEHXkkeHr1UBaFjKSNylh4wzgH7rPmkEMOXkd23Sp&#10;bRsgoQHoEtW43tXgF49of0iH04TkQ4qxzn/iukXBKLAEthGSnHfOBwokH0LCDUpvhZRRZqlQV+Dl&#10;bDKLCU5LwYIzhDl7PJTSojMJgxK/WA94HsOsPikWwRpO2OZmeyJkb8PlUgU8KALo3Kx+En4s0+Vm&#10;sVlMR9PJfDOaplU1+rgtp6P5Nvswq56qsqyyn4FaNs0bwRhXgd0wldn071S/vY9+nu5zeW9D8hY9&#10;9gvIDv9IOqoYhOtH4KDZdW8HdWEQY/Dt0YRJf9yD/fi0178AAAD//wMAUEsDBBQABgAIAAAAIQAV&#10;pvK/2QAAAAcBAAAPAAAAZHJzL2Rvd25yZXYueG1sTI/BTsMwDIbvSHuHyEhcJpbSSQOVptME9MZl&#10;G4ir15i2onG6JtsKT49hBzh+/q3fn/Pl6Dp1pCG0ng3czBJQxJW3LdcGXrbl9R2oEJEtdp7JwCcF&#10;WBaTixwz60+8puMm1kpKOGRooImxz7QOVUMOw8z3xJK9+8FhFBxqbQc8SbnrdJokC+2wZbnQYE8P&#10;DVUfm4MzEMpX2pdf02qavM1rT+n+8fkJjbm6HFf3oCKN8W8ZfvRFHQpx2vkD26A6A7epvBJlPl+A&#10;kvyXd2fWRa7/+xffAAAA//8DAFBLAQItABQABgAIAAAAIQC2gziS/gAAAOEBAAATAAAAAAAAAAAA&#10;AAAAAAAAAABbQ29udGVudF9UeXBlc10ueG1sUEsBAi0AFAAGAAgAAAAhADj9If/WAAAAlAEAAAsA&#10;AAAAAAAAAAAAAAAALwEAAF9yZWxzLy5yZWxzUEsBAi0AFAAGAAgAAAAhAL/KKvkLAgAAIgQAAA4A&#10;AAAAAAAAAAAAAAAALgIAAGRycy9lMm9Eb2MueG1sUEsBAi0AFAAGAAgAAAAhABWm8r/ZAAAABwEA&#10;AA8AAAAAAAAAAAAAAAAAZQQAAGRycy9kb3ducmV2LnhtbFBLBQYAAAAABAAEAPMAAABrBQAAAAA=&#10;"/>
            </w:pict>
          </mc:Fallback>
        </mc:AlternateContent>
      </w:r>
      <w:r w:rsidR="00DF751D">
        <w:rPr>
          <w:b/>
        </w:rPr>
        <w:t xml:space="preserve">       DPS =  </w:t>
      </w:r>
      <w:r w:rsidR="00DF751D">
        <w:rPr>
          <w:b/>
        </w:rPr>
        <w:tab/>
      </w:r>
      <w:r w:rsidR="00DF751D">
        <w:rPr>
          <w:b/>
          <w:u w:val="single"/>
        </w:rPr>
        <w:tab/>
      </w:r>
      <w:proofErr w:type="spellStart"/>
      <w:r w:rsidR="00DF751D">
        <w:rPr>
          <w:b/>
          <w:u w:val="single"/>
        </w:rPr>
        <w:t>Nbre</w:t>
      </w:r>
      <w:proofErr w:type="spellEnd"/>
      <w:r w:rsidR="00DF751D">
        <w:rPr>
          <w:b/>
          <w:u w:val="single"/>
        </w:rPr>
        <w:t xml:space="preserve"> titre émis</w:t>
      </w:r>
      <w:r w:rsidR="00DF751D">
        <w:rPr>
          <w:b/>
          <w:u w:val="single"/>
        </w:rPr>
        <w:tab/>
      </w:r>
      <w:r w:rsidR="00DF751D">
        <w:rPr>
          <w:b/>
          <w:u w:val="single"/>
        </w:rPr>
        <w:tab/>
      </w:r>
      <w:r w:rsidR="00DF751D">
        <w:rPr>
          <w:b/>
        </w:rPr>
        <w:t xml:space="preserve">   *  (valeur avant – px émission) </w:t>
      </w:r>
    </w:p>
    <w:p w:rsidR="00AA2C82" w:rsidRDefault="00DF751D">
      <w:pPr>
        <w:pStyle w:val="Corps"/>
        <w:spacing w:line="360" w:lineRule="auto"/>
        <w:ind w:firstLine="708"/>
        <w:rPr>
          <w:b/>
        </w:rPr>
      </w:pPr>
      <w:r>
        <w:rPr>
          <w:b/>
        </w:rPr>
        <w:t xml:space="preserve">            </w:t>
      </w:r>
      <w:proofErr w:type="spellStart"/>
      <w:r>
        <w:rPr>
          <w:b/>
        </w:rPr>
        <w:t>Nbre</w:t>
      </w:r>
      <w:proofErr w:type="spellEnd"/>
      <w:r>
        <w:rPr>
          <w:b/>
        </w:rPr>
        <w:t xml:space="preserve"> titre </w:t>
      </w:r>
      <w:proofErr w:type="spellStart"/>
      <w:r>
        <w:rPr>
          <w:b/>
        </w:rPr>
        <w:t>émis+Nbre</w:t>
      </w:r>
      <w:proofErr w:type="spellEnd"/>
      <w:r>
        <w:rPr>
          <w:b/>
        </w:rPr>
        <w:t xml:space="preserve"> titre ancien</w:t>
      </w:r>
    </w:p>
    <w:p w:rsidR="00AA2C82" w:rsidRDefault="00AA2C82">
      <w:pPr>
        <w:pStyle w:val="Corps"/>
        <w:spacing w:line="360" w:lineRule="auto"/>
        <w:rPr>
          <w:b/>
        </w:rPr>
      </w:pPr>
    </w:p>
    <w:p w:rsidR="00AA2C82" w:rsidRDefault="00DF751D">
      <w:pPr>
        <w:pStyle w:val="Corps"/>
        <w:spacing w:line="360" w:lineRule="auto"/>
        <w:rPr>
          <w:u w:val="single"/>
        </w:rPr>
      </w:pPr>
      <w:r>
        <w:rPr>
          <w:u w:val="single"/>
        </w:rPr>
        <w:t>Comptabilisation</w:t>
      </w:r>
    </w:p>
    <w:p w:rsidR="00AA2C82" w:rsidRDefault="00DF751D">
      <w:pPr>
        <w:pStyle w:val="Corps"/>
        <w:numPr>
          <w:ilvl w:val="0"/>
          <w:numId w:val="4"/>
        </w:numPr>
        <w:spacing w:line="360" w:lineRule="auto"/>
        <w:rPr>
          <w:b/>
        </w:rPr>
      </w:pPr>
      <w:r>
        <w:rPr>
          <w:b/>
        </w:rPr>
        <w:t xml:space="preserve">Libération des apports </w:t>
      </w:r>
      <w:r>
        <w:t>(50% nominal + 100% PE)</w:t>
      </w:r>
    </w:p>
    <w:p w:rsidR="00AA2C82" w:rsidRDefault="00DF751D">
      <w:pPr>
        <w:pStyle w:val="Corps"/>
        <w:numPr>
          <w:ilvl w:val="0"/>
          <w:numId w:val="4"/>
        </w:numPr>
        <w:spacing w:line="360" w:lineRule="auto"/>
      </w:pPr>
      <w:r>
        <w:rPr>
          <w:b/>
        </w:rPr>
        <w:t xml:space="preserve">Libération du capital et de la prime </w:t>
      </w:r>
    </w:p>
    <w:p w:rsidR="00AA2C82" w:rsidRDefault="00DF751D">
      <w:pPr>
        <w:pStyle w:val="Corps"/>
        <w:spacing w:line="360" w:lineRule="auto"/>
        <w:ind w:left="360"/>
      </w:pPr>
      <w:r>
        <w:t>4563   Associés, versement reçu sur ↑ K</w:t>
      </w:r>
    </w:p>
    <w:p w:rsidR="00AA2C82" w:rsidRDefault="00DF751D">
      <w:pPr>
        <w:pStyle w:val="Corps"/>
        <w:spacing w:line="360" w:lineRule="auto"/>
        <w:ind w:left="360"/>
      </w:pPr>
      <w:r>
        <w:tab/>
        <w:t>1013    KSAV</w:t>
      </w:r>
    </w:p>
    <w:p w:rsidR="00AA2C82" w:rsidRDefault="00DF751D">
      <w:pPr>
        <w:pStyle w:val="Corps"/>
        <w:spacing w:line="360" w:lineRule="auto"/>
      </w:pPr>
      <w:r>
        <w:tab/>
        <w:t>1041    PE</w:t>
      </w:r>
    </w:p>
    <w:p w:rsidR="00AA2C82" w:rsidRDefault="00DF751D">
      <w:pPr>
        <w:pStyle w:val="Corps"/>
        <w:numPr>
          <w:ilvl w:val="0"/>
          <w:numId w:val="4"/>
        </w:numPr>
        <w:spacing w:line="360" w:lineRule="auto"/>
        <w:rPr>
          <w:b/>
        </w:rPr>
      </w:pPr>
      <w:r>
        <w:rPr>
          <w:b/>
        </w:rPr>
        <w:t>Part du capital non libéré</w:t>
      </w:r>
    </w:p>
    <w:p w:rsidR="00AA2C82" w:rsidRDefault="00DF751D">
      <w:pPr>
        <w:pStyle w:val="Corps"/>
        <w:numPr>
          <w:ilvl w:val="0"/>
          <w:numId w:val="8"/>
        </w:numPr>
        <w:spacing w:line="360" w:lineRule="auto"/>
      </w:pPr>
      <w:r>
        <w:lastRenderedPageBreak/>
        <w:t>Associé, KSNA</w:t>
      </w:r>
    </w:p>
    <w:p w:rsidR="00AA2C82" w:rsidRDefault="00DF751D">
      <w:pPr>
        <w:pStyle w:val="Corps"/>
        <w:numPr>
          <w:ilvl w:val="0"/>
          <w:numId w:val="11"/>
        </w:numPr>
        <w:spacing w:line="360" w:lineRule="auto"/>
      </w:pPr>
      <w:r>
        <w:t>KSNA</w:t>
      </w:r>
    </w:p>
    <w:p w:rsidR="00AA2C82" w:rsidRDefault="00DF751D">
      <w:pPr>
        <w:pStyle w:val="Corps"/>
        <w:numPr>
          <w:ilvl w:val="0"/>
          <w:numId w:val="4"/>
        </w:numPr>
        <w:spacing w:line="360" w:lineRule="auto"/>
      </w:pPr>
      <w:r>
        <w:rPr>
          <w:b/>
        </w:rPr>
        <w:t xml:space="preserve">Frais </w:t>
      </w:r>
      <w:r>
        <w:t>(soit immobilisation (2013), charge, ou débité de la PE (1041-&gt;512))</w:t>
      </w:r>
    </w:p>
    <w:p w:rsidR="00AA2C82" w:rsidRDefault="00DF751D">
      <w:pPr>
        <w:pStyle w:val="Corps"/>
        <w:numPr>
          <w:ilvl w:val="0"/>
          <w:numId w:val="12"/>
        </w:numPr>
        <w:spacing w:line="360" w:lineRule="auto"/>
      </w:pPr>
      <w:r>
        <w:t xml:space="preserve">Frais d’↑ de K </w:t>
      </w:r>
    </w:p>
    <w:p w:rsidR="00AA2C82" w:rsidRDefault="00DF751D">
      <w:pPr>
        <w:pStyle w:val="Corps"/>
        <w:spacing w:line="360" w:lineRule="auto"/>
        <w:ind w:left="708"/>
      </w:pPr>
      <w:r>
        <w:t>512    Banque</w:t>
      </w:r>
    </w:p>
    <w:p w:rsidR="00AA2C82" w:rsidRDefault="00AA2C82">
      <w:pPr>
        <w:pStyle w:val="Corps"/>
        <w:spacing w:line="360" w:lineRule="auto"/>
      </w:pPr>
    </w:p>
    <w:p w:rsidR="00AA2C82" w:rsidRDefault="00DF751D">
      <w:pPr>
        <w:pStyle w:val="Corps"/>
        <w:spacing w:line="360" w:lineRule="auto"/>
        <w:ind w:left="708" w:firstLine="708"/>
        <w:rPr>
          <w:bCs/>
          <w:color w:val="FF00FF"/>
          <w:sz w:val="24"/>
        </w:rPr>
      </w:pPr>
      <w:r>
        <w:rPr>
          <w:bCs/>
          <w:color w:val="FF00FF"/>
          <w:sz w:val="24"/>
        </w:rPr>
        <w:t>III - Les augmentations de capital par apport en nature</w:t>
      </w:r>
    </w:p>
    <w:p w:rsidR="00AA2C82" w:rsidRDefault="00DF751D">
      <w:pPr>
        <w:pStyle w:val="Corps"/>
        <w:spacing w:line="360" w:lineRule="auto"/>
      </w:pPr>
      <w:r>
        <w:t xml:space="preserve">Ce type d’↑ suppose 1 </w:t>
      </w:r>
      <w:r>
        <w:rPr>
          <w:b/>
        </w:rPr>
        <w:t>évaluation monétaire</w:t>
      </w:r>
      <w:r>
        <w:t xml:space="preserve"> des apports en nature. Risque de sur évaluation par les majoritaires donc intervention d’un </w:t>
      </w:r>
      <w:r>
        <w:rPr>
          <w:b/>
        </w:rPr>
        <w:t>commissaire aux apports</w:t>
      </w:r>
      <w:r>
        <w:t>. Généralement, apport fait par 1 ou 2 associés max donc l’↑ leur est réservée (</w:t>
      </w:r>
      <w:r>
        <w:rPr>
          <w:b/>
        </w:rPr>
        <w:t>renonciation des DPS</w:t>
      </w:r>
      <w:r>
        <w:t xml:space="preserve"> par les autres, approuvée par l’AG). Cela implique que le prix d’émission soit proche de la valeur des titres avant l’opération. (Enregistrement identique sauf que compte de l’apport à la place du compte Banque).</w:t>
      </w:r>
    </w:p>
    <w:p w:rsidR="00AA2C82" w:rsidRDefault="00AA2C82">
      <w:pPr>
        <w:pStyle w:val="Corps"/>
        <w:spacing w:line="360" w:lineRule="auto"/>
      </w:pPr>
    </w:p>
    <w:p w:rsidR="00AA2C82" w:rsidRDefault="00DF751D">
      <w:pPr>
        <w:pStyle w:val="Corps"/>
        <w:spacing w:line="360" w:lineRule="auto"/>
        <w:ind w:left="1416"/>
        <w:rPr>
          <w:b/>
          <w:u w:val="single"/>
        </w:rPr>
      </w:pPr>
      <w:r>
        <w:rPr>
          <w:bCs/>
          <w:color w:val="FF00FF"/>
          <w:sz w:val="24"/>
        </w:rPr>
        <w:t>IV - Les augmentations de capital par incorporation de réserves et émission d’actions nouvelles</w:t>
      </w:r>
    </w:p>
    <w:p w:rsidR="00AA2C82" w:rsidRDefault="00DF751D">
      <w:pPr>
        <w:pStyle w:val="Corps"/>
        <w:spacing w:line="360" w:lineRule="auto"/>
      </w:pPr>
      <w:r>
        <w:t>Transfert de réserves (</w:t>
      </w:r>
      <w:proofErr w:type="spellStart"/>
      <w:r>
        <w:t>ttes</w:t>
      </w:r>
      <w:proofErr w:type="spellEnd"/>
      <w:r>
        <w:t xml:space="preserve"> possibles même PE mais ne pas les rendre négatives) en capital, jeu d’écritures (Actif : </w:t>
      </w:r>
      <w:r>
        <w:rPr>
          <w:b/>
        </w:rPr>
        <w:t>1068 Réserves</w:t>
      </w:r>
      <w:r>
        <w:t xml:space="preserve"> contre Passif : </w:t>
      </w:r>
      <w:r>
        <w:rPr>
          <w:b/>
        </w:rPr>
        <w:t>1013 KSAV</w:t>
      </w:r>
      <w:r>
        <w:t>).</w:t>
      </w:r>
    </w:p>
    <w:p w:rsidR="00AA2C82" w:rsidRDefault="00DF751D">
      <w:pPr>
        <w:pStyle w:val="Corps"/>
        <w:spacing w:line="360" w:lineRule="auto"/>
      </w:pPr>
      <w:r>
        <w:t xml:space="preserve">Augmentation réservée aux anciens pour ne pas qu’ils soient lésés, grâce à des </w:t>
      </w:r>
      <w:r>
        <w:rPr>
          <w:b/>
        </w:rPr>
        <w:t>Droits Préférentiels d’</w:t>
      </w:r>
      <w:r>
        <w:rPr>
          <w:b/>
          <w:caps/>
        </w:rPr>
        <w:t>a</w:t>
      </w:r>
      <w:r>
        <w:rPr>
          <w:b/>
        </w:rPr>
        <w:t>ttribution</w:t>
      </w:r>
      <w:r>
        <w:t xml:space="preserve"> (</w:t>
      </w:r>
      <w:r>
        <w:rPr>
          <w:b/>
        </w:rPr>
        <w:t>DPA</w:t>
      </w:r>
      <w:r>
        <w:t xml:space="preserve">). Il se calcul comme le DPS sauf qu’il n’y a aucun prix d’émission donc pour les nouveaux, ce </w:t>
      </w:r>
      <w:r>
        <w:rPr>
          <w:b/>
        </w:rPr>
        <w:t>prix</w:t>
      </w:r>
      <w:r>
        <w:t xml:space="preserve"> devient le </w:t>
      </w:r>
      <w:r>
        <w:rPr>
          <w:b/>
        </w:rPr>
        <w:t>DPA</w:t>
      </w:r>
      <w:r>
        <w:t>.</w:t>
      </w:r>
    </w:p>
    <w:p w:rsidR="00AA2C82" w:rsidRDefault="00AA2C82">
      <w:pPr>
        <w:pStyle w:val="Corps"/>
        <w:spacing w:line="360" w:lineRule="auto"/>
        <w:rPr>
          <w:sz w:val="24"/>
        </w:rPr>
      </w:pPr>
    </w:p>
    <w:p w:rsidR="00AA2C82" w:rsidRDefault="00DF751D">
      <w:pPr>
        <w:pStyle w:val="Corps"/>
        <w:spacing w:line="360" w:lineRule="auto"/>
        <w:ind w:left="1416"/>
        <w:rPr>
          <w:color w:val="FF00FF"/>
        </w:rPr>
      </w:pPr>
      <w:r>
        <w:rPr>
          <w:color w:val="FF00FF"/>
          <w:sz w:val="24"/>
        </w:rPr>
        <w:t>V - Les augmentations de capital par conversion de « créances » (dettes)</w:t>
      </w:r>
    </w:p>
    <w:p w:rsidR="00AA2C82" w:rsidRDefault="00DF751D">
      <w:pPr>
        <w:pStyle w:val="Corps"/>
        <w:spacing w:line="360" w:lineRule="auto"/>
      </w:pPr>
      <w:r>
        <w:rPr>
          <w:u w:val="single"/>
        </w:rPr>
        <w:t>Créances ordinaires</w:t>
      </w:r>
      <w:r>
        <w:t xml:space="preserve"> (comptabilisation)</w:t>
      </w:r>
    </w:p>
    <w:p w:rsidR="00AA2C82" w:rsidRDefault="00DF751D">
      <w:pPr>
        <w:pStyle w:val="Corps"/>
        <w:spacing w:line="360" w:lineRule="auto"/>
        <w:rPr>
          <w:u w:val="single"/>
        </w:rPr>
      </w:pPr>
      <w:r>
        <w:t>401  Dettes frs</w:t>
      </w:r>
    </w:p>
    <w:p w:rsidR="00AA2C82" w:rsidRDefault="00DF751D">
      <w:pPr>
        <w:pStyle w:val="Corps"/>
        <w:tabs>
          <w:tab w:val="left" w:pos="360"/>
        </w:tabs>
        <w:spacing w:line="360" w:lineRule="auto"/>
      </w:pPr>
      <w:r>
        <w:tab/>
        <w:t>4563    Associé, versement reçu sur ↑ de K</w:t>
      </w:r>
    </w:p>
    <w:p w:rsidR="00AA2C82" w:rsidRDefault="00DF751D">
      <w:pPr>
        <w:pStyle w:val="Corps"/>
        <w:spacing w:line="360" w:lineRule="auto"/>
      </w:pPr>
      <w:r>
        <w:t>4563   Associé, versement reçu sur ↑ de K</w:t>
      </w:r>
    </w:p>
    <w:p w:rsidR="00AA2C82" w:rsidRDefault="00DF751D">
      <w:pPr>
        <w:pStyle w:val="Corps"/>
        <w:tabs>
          <w:tab w:val="left" w:pos="360"/>
        </w:tabs>
        <w:spacing w:line="360" w:lineRule="auto"/>
      </w:pPr>
      <w:r>
        <w:tab/>
        <w:t>1013    KSAV</w:t>
      </w:r>
    </w:p>
    <w:p w:rsidR="00AA2C82" w:rsidRDefault="00DF751D">
      <w:pPr>
        <w:pStyle w:val="Corps"/>
        <w:tabs>
          <w:tab w:val="left" w:pos="360"/>
        </w:tabs>
        <w:spacing w:line="360" w:lineRule="auto"/>
      </w:pPr>
      <w:r>
        <w:tab/>
        <w:t>1041    PE</w:t>
      </w:r>
    </w:p>
    <w:p w:rsidR="00AA2C82" w:rsidRDefault="00AA2C82">
      <w:pPr>
        <w:pStyle w:val="Corps"/>
        <w:tabs>
          <w:tab w:val="left" w:pos="360"/>
        </w:tabs>
        <w:spacing w:line="360" w:lineRule="auto"/>
      </w:pPr>
    </w:p>
    <w:p w:rsidR="00AA2C82" w:rsidRDefault="00DF751D">
      <w:pPr>
        <w:pStyle w:val="Corps"/>
        <w:spacing w:line="360" w:lineRule="auto"/>
        <w:rPr>
          <w:u w:val="single"/>
        </w:rPr>
      </w:pPr>
      <w:r>
        <w:rPr>
          <w:u w:val="single"/>
        </w:rPr>
        <w:t>Obligations convertibles</w:t>
      </w:r>
    </w:p>
    <w:p w:rsidR="00AA2C82" w:rsidRDefault="00DF751D">
      <w:pPr>
        <w:pStyle w:val="Corps"/>
        <w:spacing w:line="360" w:lineRule="auto"/>
      </w:pPr>
      <w:r>
        <w:t xml:space="preserve">Il s’agit d’une obligation, </w:t>
      </w:r>
      <w:r>
        <w:rPr>
          <w:b/>
        </w:rPr>
        <w:t>titre de créance sur l’entreprise</w:t>
      </w:r>
      <w:r>
        <w:t xml:space="preserve"> (à l’origine 1 dette) qui peut être convertie, à tout moment à partir d’une certaine date, en action au gré du porteur mais selon des conditions prévues à l’avance.</w:t>
      </w:r>
    </w:p>
    <w:p w:rsidR="00AA2C82" w:rsidRDefault="00DF751D">
      <w:pPr>
        <w:pStyle w:val="Corps"/>
        <w:spacing w:line="360" w:lineRule="auto"/>
      </w:pPr>
      <w:r>
        <w:t>161   Emprunt obligataire</w:t>
      </w:r>
    </w:p>
    <w:p w:rsidR="00AA2C82" w:rsidRDefault="00DF751D">
      <w:pPr>
        <w:pStyle w:val="Corps"/>
        <w:spacing w:line="360" w:lineRule="auto"/>
        <w:ind w:firstLine="360"/>
      </w:pPr>
      <w:r>
        <w:t>1687   Obligataires, obligations à convertir</w:t>
      </w:r>
    </w:p>
    <w:p w:rsidR="00AA2C82" w:rsidRDefault="00DF751D">
      <w:pPr>
        <w:pStyle w:val="Corps"/>
        <w:spacing w:line="360" w:lineRule="auto"/>
      </w:pPr>
      <w:r>
        <w:t>1687  Obligataires, obligations à convertir</w:t>
      </w:r>
    </w:p>
    <w:p w:rsidR="00AA2C82" w:rsidRDefault="00DF751D">
      <w:pPr>
        <w:pStyle w:val="Corps"/>
        <w:spacing w:line="360" w:lineRule="auto"/>
        <w:ind w:firstLine="360"/>
      </w:pPr>
      <w:r>
        <w:t>1013   KSAV</w:t>
      </w:r>
    </w:p>
    <w:p w:rsidR="00AA2C82" w:rsidRDefault="00DF751D">
      <w:pPr>
        <w:pStyle w:val="Corps"/>
        <w:spacing w:line="360" w:lineRule="auto"/>
        <w:ind w:firstLine="360"/>
      </w:pPr>
      <w:r>
        <w:t>1044   Prime de conversion d’obligation en action</w:t>
      </w:r>
    </w:p>
    <w:p w:rsidR="00AA2C82" w:rsidRDefault="00AA2C82">
      <w:pPr>
        <w:pStyle w:val="Corps"/>
        <w:spacing w:line="360" w:lineRule="auto"/>
      </w:pPr>
    </w:p>
    <w:p w:rsidR="00AA2C82" w:rsidRDefault="00DF751D">
      <w:pPr>
        <w:pStyle w:val="Corps"/>
        <w:spacing w:line="360" w:lineRule="auto"/>
        <w:rPr>
          <w:u w:val="single"/>
        </w:rPr>
      </w:pPr>
      <w:r>
        <w:rPr>
          <w:u w:val="single"/>
        </w:rPr>
        <w:t>Paiement de dividendes en action</w:t>
      </w:r>
    </w:p>
    <w:p w:rsidR="00AA2C82" w:rsidRDefault="00DF751D">
      <w:pPr>
        <w:pStyle w:val="Corps"/>
        <w:spacing w:line="360" w:lineRule="auto"/>
      </w:pPr>
      <w:r>
        <w:t>457   Associé, dividendes à payer</w:t>
      </w:r>
    </w:p>
    <w:p w:rsidR="00AA2C82" w:rsidRDefault="00DF751D">
      <w:pPr>
        <w:pStyle w:val="Corps"/>
        <w:spacing w:line="360" w:lineRule="auto"/>
        <w:ind w:left="360"/>
      </w:pPr>
      <w:r>
        <w:t>1013   KSAV</w:t>
      </w:r>
    </w:p>
    <w:p w:rsidR="00AA2C82" w:rsidRDefault="00DF751D">
      <w:pPr>
        <w:pStyle w:val="Corps"/>
        <w:spacing w:line="360" w:lineRule="auto"/>
        <w:ind w:firstLine="360"/>
        <w:rPr>
          <w:b/>
          <w:u w:val="single"/>
        </w:rPr>
      </w:pPr>
      <w:r>
        <w:t>1041   PE</w:t>
      </w:r>
      <w:r>
        <w:rPr>
          <w:b/>
          <w:u w:val="single"/>
        </w:rPr>
        <w:t xml:space="preserve"> </w:t>
      </w:r>
    </w:p>
    <w:p w:rsidR="00AA2C82" w:rsidRDefault="00AA2C82">
      <w:pPr>
        <w:pStyle w:val="Corps"/>
        <w:spacing w:line="360" w:lineRule="auto"/>
        <w:rPr>
          <w:b/>
          <w:u w:val="single"/>
        </w:rPr>
      </w:pPr>
    </w:p>
    <w:p w:rsidR="00AA2C82" w:rsidRDefault="00DF751D">
      <w:pPr>
        <w:pStyle w:val="Corps"/>
        <w:spacing w:line="360" w:lineRule="auto"/>
        <w:ind w:firstLine="708"/>
        <w:rPr>
          <w:bCs/>
          <w:color w:val="FF00FF"/>
          <w:sz w:val="28"/>
        </w:rPr>
      </w:pPr>
      <w:r>
        <w:rPr>
          <w:bCs/>
          <w:color w:val="FF00FF"/>
          <w:sz w:val="28"/>
        </w:rPr>
        <w:t>Section 2 : Les réductions de capital</w:t>
      </w:r>
    </w:p>
    <w:p w:rsidR="00AA2C82" w:rsidRDefault="00DF751D">
      <w:pPr>
        <w:pStyle w:val="Corps"/>
        <w:spacing w:line="360" w:lineRule="auto"/>
        <w:rPr>
          <w:u w:val="single"/>
        </w:rPr>
      </w:pPr>
      <w:r>
        <w:rPr>
          <w:u w:val="single"/>
        </w:rPr>
        <w:t>Motivations</w:t>
      </w:r>
    </w:p>
    <w:p w:rsidR="00AA2C82" w:rsidRDefault="00DF751D">
      <w:pPr>
        <w:pStyle w:val="Corps"/>
        <w:numPr>
          <w:ilvl w:val="0"/>
          <w:numId w:val="4"/>
        </w:numPr>
        <w:spacing w:line="360" w:lineRule="auto"/>
      </w:pPr>
      <w:r>
        <w:t>Distribuer de l’argent aux associés</w:t>
      </w:r>
    </w:p>
    <w:p w:rsidR="00AA2C82" w:rsidRDefault="00DF751D">
      <w:pPr>
        <w:pStyle w:val="Corps"/>
        <w:numPr>
          <w:ilvl w:val="0"/>
          <w:numId w:val="4"/>
        </w:numPr>
        <w:spacing w:line="360" w:lineRule="auto"/>
      </w:pPr>
      <w:r>
        <w:t>Apurer des pertes (incorporation de réserves négatives)</w:t>
      </w:r>
    </w:p>
    <w:p w:rsidR="00AA2C82" w:rsidRDefault="00AA2C82">
      <w:pPr>
        <w:pStyle w:val="Corps"/>
        <w:spacing w:line="360" w:lineRule="auto"/>
      </w:pPr>
    </w:p>
    <w:p w:rsidR="00AA2C82" w:rsidRDefault="00DF751D">
      <w:pPr>
        <w:pStyle w:val="Corps"/>
        <w:spacing w:line="360" w:lineRule="auto"/>
        <w:rPr>
          <w:u w:val="single"/>
        </w:rPr>
      </w:pPr>
      <w:r>
        <w:rPr>
          <w:u w:val="single"/>
        </w:rPr>
        <w:t>Techniques</w:t>
      </w:r>
    </w:p>
    <w:p w:rsidR="00AA2C82" w:rsidRDefault="00DF751D">
      <w:pPr>
        <w:pStyle w:val="Corps"/>
        <w:numPr>
          <w:ilvl w:val="0"/>
          <w:numId w:val="4"/>
        </w:numPr>
        <w:spacing w:line="360" w:lineRule="auto"/>
      </w:pPr>
      <w:r>
        <w:t>Réduction du nominal</w:t>
      </w:r>
    </w:p>
    <w:p w:rsidR="00AA2C82" w:rsidRDefault="00DF751D">
      <w:pPr>
        <w:pStyle w:val="Corps"/>
        <w:numPr>
          <w:ilvl w:val="0"/>
          <w:numId w:val="4"/>
        </w:numPr>
        <w:spacing w:line="360" w:lineRule="auto"/>
      </w:pPr>
      <w:r>
        <w:t>Réduction du nombre d’actions</w:t>
      </w:r>
    </w:p>
    <w:p w:rsidR="00AA2C82" w:rsidRDefault="00DF751D">
      <w:pPr>
        <w:pStyle w:val="Corps"/>
        <w:numPr>
          <w:ilvl w:val="0"/>
          <w:numId w:val="4"/>
        </w:numPr>
        <w:spacing w:line="360" w:lineRule="auto"/>
      </w:pPr>
      <w:r>
        <w:t>Rachat des titres et annulation (augmentation du bénéfice par action)</w:t>
      </w:r>
    </w:p>
    <w:p w:rsidR="00AA2C82" w:rsidRDefault="00AA2C82">
      <w:pPr>
        <w:pStyle w:val="Corps"/>
        <w:spacing w:line="360" w:lineRule="auto"/>
        <w:ind w:left="360"/>
        <w:rPr>
          <w:b/>
          <w:u w:val="single"/>
        </w:rPr>
      </w:pPr>
    </w:p>
    <w:p w:rsidR="00AA2C82" w:rsidRDefault="00DF751D">
      <w:pPr>
        <w:pStyle w:val="Corps"/>
        <w:spacing w:line="360" w:lineRule="auto"/>
        <w:ind w:left="708" w:firstLine="708"/>
        <w:rPr>
          <w:bCs/>
          <w:color w:val="FF00FF"/>
          <w:sz w:val="24"/>
        </w:rPr>
      </w:pPr>
      <w:r>
        <w:rPr>
          <w:bCs/>
          <w:color w:val="FF00FF"/>
          <w:sz w:val="24"/>
        </w:rPr>
        <w:t>I - Réduction du capital par incorporation d’un RAN débiteur</w:t>
      </w:r>
    </w:p>
    <w:p w:rsidR="00AA2C82" w:rsidRDefault="00DF751D">
      <w:pPr>
        <w:pStyle w:val="Corps"/>
        <w:spacing w:line="360" w:lineRule="auto"/>
      </w:pPr>
      <w:r>
        <w:t xml:space="preserve">Même comptabilisation que l’opération s’effectue par </w:t>
      </w:r>
      <w:r>
        <w:rPr>
          <w:b/>
        </w:rPr>
        <w:t>↓ du nominal</w:t>
      </w:r>
      <w:r>
        <w:t xml:space="preserve"> ou </w:t>
      </w:r>
      <w:r>
        <w:rPr>
          <w:b/>
        </w:rPr>
        <w:t xml:space="preserve">↓ du </w:t>
      </w:r>
      <w:proofErr w:type="spellStart"/>
      <w:r>
        <w:rPr>
          <w:b/>
        </w:rPr>
        <w:t>nbre</w:t>
      </w:r>
      <w:proofErr w:type="spellEnd"/>
      <w:r>
        <w:rPr>
          <w:b/>
        </w:rPr>
        <w:t xml:space="preserve"> de titres</w:t>
      </w:r>
      <w:r>
        <w:t xml:space="preserve"> et le solde positif entre le montant de cette réduction et le RAN débiteur constitue la PE.</w:t>
      </w:r>
    </w:p>
    <w:p w:rsidR="00AA2C82" w:rsidRDefault="00DF751D">
      <w:pPr>
        <w:pStyle w:val="Corps"/>
        <w:spacing w:line="360" w:lineRule="auto"/>
      </w:pPr>
      <w:r>
        <w:t>1013    KSAV</w:t>
      </w:r>
    </w:p>
    <w:p w:rsidR="00AA2C82" w:rsidRDefault="00DF751D">
      <w:pPr>
        <w:pStyle w:val="Corps"/>
        <w:spacing w:line="360" w:lineRule="auto"/>
        <w:ind w:firstLine="360"/>
      </w:pPr>
      <w:r>
        <w:t xml:space="preserve">119   RAN </w:t>
      </w:r>
    </w:p>
    <w:p w:rsidR="00AA2C82" w:rsidRDefault="00DF751D">
      <w:pPr>
        <w:pStyle w:val="Corps"/>
        <w:spacing w:line="360" w:lineRule="auto"/>
        <w:ind w:left="360"/>
      </w:pPr>
      <w:r>
        <w:t>1041 PE</w:t>
      </w:r>
    </w:p>
    <w:p w:rsidR="00AA2C82" w:rsidRDefault="00AA2C82">
      <w:pPr>
        <w:pStyle w:val="Corps"/>
        <w:spacing w:line="360" w:lineRule="auto"/>
        <w:ind w:left="360"/>
      </w:pPr>
    </w:p>
    <w:p w:rsidR="00AA2C82" w:rsidRDefault="00DF751D">
      <w:pPr>
        <w:pStyle w:val="Corps"/>
        <w:spacing w:line="360" w:lineRule="auto"/>
        <w:ind w:left="708" w:firstLine="708"/>
        <w:rPr>
          <w:color w:val="FF00FF"/>
          <w:sz w:val="24"/>
        </w:rPr>
      </w:pPr>
      <w:r>
        <w:rPr>
          <w:color w:val="FF00FF"/>
          <w:sz w:val="24"/>
        </w:rPr>
        <w:t>II - Réduction du capital par distribution du numéraire (↓ du nominal)</w:t>
      </w:r>
    </w:p>
    <w:p w:rsidR="00AA2C82" w:rsidRDefault="00DF751D">
      <w:pPr>
        <w:pStyle w:val="Corps"/>
        <w:spacing w:line="360" w:lineRule="auto"/>
      </w:pPr>
      <w:r>
        <w:t>1013   KSAV</w:t>
      </w:r>
    </w:p>
    <w:p w:rsidR="00AA2C82" w:rsidRDefault="00DF751D">
      <w:pPr>
        <w:pStyle w:val="Corps"/>
        <w:tabs>
          <w:tab w:val="left" w:pos="360"/>
        </w:tabs>
        <w:spacing w:line="360" w:lineRule="auto"/>
      </w:pPr>
      <w:r>
        <w:tab/>
        <w:t>4567   Associé, capital à rembourser</w:t>
      </w:r>
    </w:p>
    <w:p w:rsidR="00AA2C82" w:rsidRDefault="00DF751D">
      <w:pPr>
        <w:pStyle w:val="Corps"/>
        <w:tabs>
          <w:tab w:val="left" w:pos="360"/>
        </w:tabs>
        <w:spacing w:line="360" w:lineRule="auto"/>
      </w:pPr>
      <w:r>
        <w:t>4567   Associé, capital à rembourser</w:t>
      </w:r>
    </w:p>
    <w:p w:rsidR="00AA2C82" w:rsidRDefault="00DF751D">
      <w:pPr>
        <w:pStyle w:val="Corps"/>
        <w:tabs>
          <w:tab w:val="left" w:pos="360"/>
        </w:tabs>
        <w:spacing w:line="360" w:lineRule="auto"/>
      </w:pPr>
      <w:r>
        <w:tab/>
        <w:t>5112   Banque</w:t>
      </w:r>
    </w:p>
    <w:p w:rsidR="00AA2C82" w:rsidRDefault="00AA2C82">
      <w:pPr>
        <w:pStyle w:val="Corps"/>
        <w:tabs>
          <w:tab w:val="left" w:pos="360"/>
        </w:tabs>
        <w:spacing w:line="360" w:lineRule="auto"/>
      </w:pPr>
    </w:p>
    <w:p w:rsidR="00AA2C82" w:rsidRDefault="00DF751D">
      <w:pPr>
        <w:pStyle w:val="Corps"/>
        <w:spacing w:line="360" w:lineRule="auto"/>
        <w:ind w:left="708" w:firstLine="708"/>
        <w:rPr>
          <w:bCs/>
          <w:color w:val="FF00FF"/>
          <w:sz w:val="24"/>
        </w:rPr>
      </w:pPr>
      <w:r>
        <w:rPr>
          <w:bCs/>
          <w:color w:val="FF00FF"/>
          <w:sz w:val="24"/>
        </w:rPr>
        <w:t xml:space="preserve">III - Réduction du capital par rachat de titres (↓ du </w:t>
      </w:r>
      <w:proofErr w:type="spellStart"/>
      <w:r>
        <w:rPr>
          <w:bCs/>
          <w:color w:val="FF00FF"/>
          <w:sz w:val="24"/>
        </w:rPr>
        <w:t>nbre</w:t>
      </w:r>
      <w:proofErr w:type="spellEnd"/>
      <w:r>
        <w:rPr>
          <w:bCs/>
          <w:color w:val="FF00FF"/>
          <w:sz w:val="24"/>
        </w:rPr>
        <w:t xml:space="preserve"> de titres)</w:t>
      </w:r>
    </w:p>
    <w:p w:rsidR="00AA2C82" w:rsidRDefault="00DF751D">
      <w:pPr>
        <w:pStyle w:val="Corps"/>
        <w:tabs>
          <w:tab w:val="left" w:pos="360"/>
        </w:tabs>
        <w:spacing w:line="360" w:lineRule="auto"/>
      </w:pPr>
      <w:r>
        <w:t xml:space="preserve">-&gt; </w:t>
      </w:r>
      <w:r>
        <w:rPr>
          <w:b/>
        </w:rPr>
        <w:t>Achat</w:t>
      </w:r>
    </w:p>
    <w:p w:rsidR="00AA2C82" w:rsidRDefault="00DF751D">
      <w:pPr>
        <w:pStyle w:val="Corps"/>
        <w:tabs>
          <w:tab w:val="left" w:pos="360"/>
        </w:tabs>
        <w:spacing w:line="360" w:lineRule="auto"/>
      </w:pPr>
      <w:r>
        <w:t>502   Actions propres  (ou 277)</w:t>
      </w:r>
    </w:p>
    <w:p w:rsidR="00AA2C82" w:rsidRDefault="00DF751D">
      <w:pPr>
        <w:pStyle w:val="Corps"/>
        <w:tabs>
          <w:tab w:val="left" w:pos="360"/>
        </w:tabs>
        <w:spacing w:line="360" w:lineRule="auto"/>
      </w:pPr>
      <w:r>
        <w:tab/>
        <w:t>512   Banque</w:t>
      </w:r>
    </w:p>
    <w:p w:rsidR="00AA2C82" w:rsidRDefault="00DF751D">
      <w:pPr>
        <w:pStyle w:val="Corps"/>
        <w:tabs>
          <w:tab w:val="left" w:pos="360"/>
        </w:tabs>
        <w:spacing w:line="360" w:lineRule="auto"/>
      </w:pPr>
      <w:r>
        <w:t xml:space="preserve">-&gt; </w:t>
      </w:r>
      <w:r>
        <w:rPr>
          <w:b/>
        </w:rPr>
        <w:t>Réduction</w:t>
      </w:r>
    </w:p>
    <w:p w:rsidR="00AA2C82" w:rsidRDefault="00DF751D">
      <w:pPr>
        <w:pStyle w:val="Corps"/>
        <w:tabs>
          <w:tab w:val="left" w:pos="360"/>
        </w:tabs>
        <w:spacing w:line="360" w:lineRule="auto"/>
      </w:pPr>
      <w:r>
        <w:t>1013 KSAV</w:t>
      </w:r>
    </w:p>
    <w:p w:rsidR="00AA2C82" w:rsidRDefault="00DF751D">
      <w:pPr>
        <w:pStyle w:val="Corps"/>
        <w:tabs>
          <w:tab w:val="left" w:pos="360"/>
        </w:tabs>
        <w:spacing w:line="360" w:lineRule="auto"/>
      </w:pPr>
      <w:r>
        <w:tab/>
        <w:t>4567  Associés, K à rembourser</w:t>
      </w:r>
    </w:p>
    <w:p w:rsidR="00AA2C82" w:rsidRDefault="00DF751D">
      <w:pPr>
        <w:pStyle w:val="Corps"/>
        <w:tabs>
          <w:tab w:val="left" w:pos="360"/>
        </w:tabs>
        <w:spacing w:line="360" w:lineRule="auto"/>
      </w:pPr>
      <w:r>
        <w:t xml:space="preserve">-&gt; </w:t>
      </w:r>
      <w:r>
        <w:rPr>
          <w:b/>
        </w:rPr>
        <w:t>Imputation</w:t>
      </w:r>
    </w:p>
    <w:p w:rsidR="00AA2C82" w:rsidRDefault="00DF751D">
      <w:pPr>
        <w:pStyle w:val="Corps"/>
        <w:tabs>
          <w:tab w:val="left" w:pos="360"/>
        </w:tabs>
        <w:spacing w:line="360" w:lineRule="auto"/>
      </w:pPr>
      <w:r>
        <w:t>4567  Associés, K à rembourser</w:t>
      </w:r>
    </w:p>
    <w:p w:rsidR="00AA2C82" w:rsidRDefault="00DF751D">
      <w:pPr>
        <w:pStyle w:val="Corps"/>
        <w:tabs>
          <w:tab w:val="left" w:pos="360"/>
        </w:tabs>
        <w:spacing w:line="360" w:lineRule="auto"/>
      </w:pPr>
      <w:r>
        <w:t>1068  Réserves (pour la différence ↓ du K à VN et décaissement au prix de rachat)</w:t>
      </w:r>
    </w:p>
    <w:p w:rsidR="00AA2C82" w:rsidRDefault="00DF751D">
      <w:pPr>
        <w:pStyle w:val="BodyText"/>
      </w:pPr>
      <w:r>
        <w:tab/>
        <w:t>502   Actions propres  (ou 277)</w:t>
      </w:r>
    </w:p>
    <w:p w:rsidR="00AA2C82" w:rsidRDefault="00AA2C82">
      <w:pPr>
        <w:pStyle w:val="BodyText"/>
      </w:pPr>
    </w:p>
    <w:p w:rsidR="00AA2C82" w:rsidRDefault="00DF751D">
      <w:pPr>
        <w:pStyle w:val="Heading4"/>
        <w:spacing w:line="360" w:lineRule="auto"/>
      </w:pPr>
      <w:r>
        <w:t xml:space="preserve">Chapitre 5 : Emprunts et dettes </w:t>
      </w:r>
    </w:p>
    <w:p w:rsidR="00AA2C82" w:rsidRDefault="00AA2C82">
      <w:pPr>
        <w:spacing w:line="360" w:lineRule="auto"/>
        <w:rPr>
          <w:rFonts w:ascii="Arial" w:hAnsi="Arial" w:cs="Arial"/>
          <w:bCs/>
          <w:color w:val="FF00FF"/>
          <w:sz w:val="22"/>
          <w:szCs w:val="32"/>
        </w:rPr>
      </w:pPr>
    </w:p>
    <w:p w:rsidR="00AA2C82" w:rsidRDefault="00DF751D">
      <w:pPr>
        <w:pStyle w:val="Corps"/>
        <w:spacing w:line="360" w:lineRule="auto"/>
        <w:rPr>
          <w:b/>
          <w:u w:val="single"/>
        </w:rPr>
      </w:pPr>
      <w:r>
        <w:rPr>
          <w:b/>
          <w:u w:val="single"/>
        </w:rPr>
        <w:t>Application</w:t>
      </w:r>
    </w:p>
    <w:p w:rsidR="00AA2C82" w:rsidRDefault="00DF751D">
      <w:pPr>
        <w:pStyle w:val="Corps"/>
        <w:spacing w:line="360" w:lineRule="auto"/>
      </w:pPr>
      <w:r>
        <w:rPr>
          <w:b/>
        </w:rPr>
        <w:t>Le 1/10/N</w:t>
      </w:r>
      <w:r>
        <w:t>, emprunt de 500 000€ remboursable en 5 annuités par amortissement constant (5*</w:t>
      </w:r>
      <w:r>
        <w:rPr>
          <w:b/>
        </w:rPr>
        <w:t>100 000</w:t>
      </w:r>
      <w:r>
        <w:t>) à un taux d’intérêt de 10% par an.</w:t>
      </w:r>
    </w:p>
    <w:p w:rsidR="00AA2C82" w:rsidRDefault="00AA2C82">
      <w:pPr>
        <w:pStyle w:val="Corps"/>
        <w:spacing w:line="360" w:lineRule="auto"/>
      </w:pPr>
    </w:p>
    <w:p w:rsidR="00AA2C82" w:rsidRDefault="00DF751D">
      <w:pPr>
        <w:pStyle w:val="Corps"/>
        <w:spacing w:line="360" w:lineRule="auto"/>
      </w:pPr>
      <w:r>
        <w:t>512   Banque                        500 000</w:t>
      </w:r>
    </w:p>
    <w:p w:rsidR="00AA2C82" w:rsidRDefault="00DF751D">
      <w:pPr>
        <w:pStyle w:val="Corps"/>
        <w:tabs>
          <w:tab w:val="left" w:pos="360"/>
          <w:tab w:val="left" w:pos="3600"/>
        </w:tabs>
        <w:spacing w:line="360" w:lineRule="auto"/>
      </w:pPr>
      <w:r>
        <w:tab/>
        <w:t>164  Dettes financières                 500 000</w:t>
      </w:r>
    </w:p>
    <w:p w:rsidR="00AA2C82" w:rsidRDefault="00AA2C82">
      <w:pPr>
        <w:pStyle w:val="Corps"/>
        <w:tabs>
          <w:tab w:val="left" w:pos="360"/>
        </w:tabs>
        <w:spacing w:line="360" w:lineRule="auto"/>
      </w:pPr>
    </w:p>
    <w:p w:rsidR="00AA2C82" w:rsidRDefault="00DF751D">
      <w:pPr>
        <w:pStyle w:val="Corps"/>
        <w:tabs>
          <w:tab w:val="left" w:pos="360"/>
        </w:tabs>
        <w:spacing w:line="360" w:lineRule="auto"/>
      </w:pPr>
      <w:r>
        <w:rPr>
          <w:b/>
        </w:rPr>
        <w:t>Le 31/12/N</w:t>
      </w:r>
      <w:r>
        <w:t xml:space="preserve">, on comptabilise les ICNE </w:t>
      </w:r>
      <w:proofErr w:type="spellStart"/>
      <w:r>
        <w:t>càd</w:t>
      </w:r>
      <w:proofErr w:type="spellEnd"/>
      <w:r>
        <w:t xml:space="preserve"> 500 00010% * 3/12(en jours) = 12 500</w:t>
      </w:r>
    </w:p>
    <w:p w:rsidR="00AA2C82" w:rsidRDefault="00AA2C82">
      <w:pPr>
        <w:pStyle w:val="Corps"/>
        <w:tabs>
          <w:tab w:val="left" w:pos="360"/>
        </w:tabs>
        <w:spacing w:line="360" w:lineRule="auto"/>
      </w:pPr>
    </w:p>
    <w:p w:rsidR="00AA2C82" w:rsidRDefault="00DF751D">
      <w:pPr>
        <w:pStyle w:val="Corps"/>
        <w:tabs>
          <w:tab w:val="left" w:pos="360"/>
        </w:tabs>
        <w:spacing w:line="360" w:lineRule="auto"/>
      </w:pPr>
      <w:r>
        <w:t>661   Charges d’intérêt          12 500</w:t>
      </w:r>
    </w:p>
    <w:p w:rsidR="00AA2C82" w:rsidRDefault="00DF751D">
      <w:pPr>
        <w:pStyle w:val="Corps"/>
        <w:tabs>
          <w:tab w:val="left" w:pos="360"/>
        </w:tabs>
        <w:spacing w:line="360" w:lineRule="auto"/>
      </w:pPr>
      <w:r>
        <w:tab/>
      </w:r>
      <w:r>
        <w:rPr>
          <w:b/>
        </w:rPr>
        <w:t>1688  ICNE</w:t>
      </w:r>
      <w:r>
        <w:t xml:space="preserve">                                  12 500</w:t>
      </w:r>
    </w:p>
    <w:p w:rsidR="00AA2C82" w:rsidRDefault="00AA2C82">
      <w:pPr>
        <w:pStyle w:val="Corps"/>
        <w:tabs>
          <w:tab w:val="left" w:pos="360"/>
        </w:tabs>
        <w:spacing w:line="360" w:lineRule="auto"/>
      </w:pPr>
    </w:p>
    <w:p w:rsidR="00AA2C82" w:rsidRDefault="00DF751D">
      <w:pPr>
        <w:pStyle w:val="Corps"/>
        <w:tabs>
          <w:tab w:val="left" w:pos="360"/>
        </w:tabs>
        <w:spacing w:line="360" w:lineRule="auto"/>
        <w:rPr>
          <w:b/>
        </w:rPr>
      </w:pPr>
      <w:r>
        <w:rPr>
          <w:b/>
        </w:rPr>
        <w:t>Echéance au 01/10/N+1</w:t>
      </w:r>
      <w:r>
        <w:t>,</w:t>
      </w:r>
    </w:p>
    <w:p w:rsidR="00AA2C82" w:rsidRDefault="00DF751D">
      <w:pPr>
        <w:pStyle w:val="Corps"/>
        <w:tabs>
          <w:tab w:val="left" w:pos="360"/>
        </w:tabs>
        <w:spacing w:line="360" w:lineRule="auto"/>
      </w:pPr>
      <w:r>
        <w:t>Remboursement du capital de la dette = 100 000</w:t>
      </w:r>
    </w:p>
    <w:p w:rsidR="00AA2C82" w:rsidRDefault="00DF751D">
      <w:pPr>
        <w:pStyle w:val="Corps"/>
        <w:tabs>
          <w:tab w:val="left" w:pos="360"/>
        </w:tabs>
        <w:spacing w:line="360" w:lineRule="auto"/>
      </w:pPr>
      <w:r>
        <w:t>Intérêts = 50 000 (10% * 500 000)</w:t>
      </w:r>
    </w:p>
    <w:p w:rsidR="00AA2C82" w:rsidRDefault="00DF751D">
      <w:pPr>
        <w:pStyle w:val="Corps"/>
        <w:numPr>
          <w:ilvl w:val="0"/>
          <w:numId w:val="13"/>
        </w:numPr>
        <w:tabs>
          <w:tab w:val="left" w:pos="360"/>
        </w:tabs>
        <w:spacing w:line="360" w:lineRule="auto"/>
      </w:pPr>
      <w:r>
        <w:t>Annuité = 150 000</w:t>
      </w:r>
    </w:p>
    <w:p w:rsidR="00AA2C82" w:rsidRDefault="00AA2C82">
      <w:pPr>
        <w:pStyle w:val="Corps"/>
        <w:tabs>
          <w:tab w:val="left" w:pos="360"/>
        </w:tabs>
        <w:spacing w:line="360" w:lineRule="auto"/>
      </w:pPr>
    </w:p>
    <w:p w:rsidR="00AA2C82" w:rsidRDefault="00DF751D">
      <w:pPr>
        <w:pStyle w:val="Corps"/>
        <w:tabs>
          <w:tab w:val="left" w:pos="360"/>
        </w:tabs>
        <w:spacing w:line="360" w:lineRule="auto"/>
      </w:pPr>
      <w:r>
        <w:t>164   Dettes financières</w:t>
      </w:r>
      <w:r>
        <w:tab/>
        <w:t>100 000</w:t>
      </w:r>
    </w:p>
    <w:p w:rsidR="00AA2C82" w:rsidRDefault="00DF751D">
      <w:pPr>
        <w:pStyle w:val="Corps"/>
        <w:tabs>
          <w:tab w:val="left" w:pos="360"/>
          <w:tab w:val="left" w:pos="3600"/>
        </w:tabs>
        <w:spacing w:line="360" w:lineRule="auto"/>
      </w:pPr>
      <w:r>
        <w:rPr>
          <w:b/>
        </w:rPr>
        <w:t>1688 ICNE</w:t>
      </w:r>
      <w:r>
        <w:t xml:space="preserve">                               12 500</w:t>
      </w:r>
    </w:p>
    <w:p w:rsidR="00AA2C82" w:rsidRDefault="00DF751D">
      <w:pPr>
        <w:pStyle w:val="Corps"/>
        <w:tabs>
          <w:tab w:val="left" w:pos="360"/>
          <w:tab w:val="left" w:pos="3600"/>
        </w:tabs>
        <w:spacing w:line="360" w:lineRule="auto"/>
      </w:pPr>
      <w:r>
        <w:t>661   Charges d’intérêt            37 500</w:t>
      </w:r>
    </w:p>
    <w:p w:rsidR="00AA2C82" w:rsidRDefault="00DF751D">
      <w:pPr>
        <w:pStyle w:val="Corps"/>
        <w:tabs>
          <w:tab w:val="left" w:pos="360"/>
          <w:tab w:val="left" w:pos="3600"/>
        </w:tabs>
        <w:spacing w:line="360" w:lineRule="auto"/>
      </w:pPr>
      <w:r>
        <w:tab/>
        <w:t>512   Banque</w:t>
      </w:r>
      <w:r>
        <w:tab/>
        <w:t>150 000</w:t>
      </w:r>
    </w:p>
    <w:p w:rsidR="00AA2C82" w:rsidRDefault="00AA2C82">
      <w:pPr>
        <w:pStyle w:val="Corps"/>
        <w:tabs>
          <w:tab w:val="left" w:pos="360"/>
          <w:tab w:val="left" w:pos="3600"/>
        </w:tabs>
        <w:spacing w:line="360" w:lineRule="auto"/>
      </w:pPr>
    </w:p>
    <w:p w:rsidR="00AA2C82" w:rsidRDefault="00DF751D">
      <w:pPr>
        <w:pStyle w:val="Corps"/>
        <w:tabs>
          <w:tab w:val="left" w:pos="360"/>
          <w:tab w:val="left" w:pos="3600"/>
        </w:tabs>
        <w:spacing w:line="360" w:lineRule="auto"/>
      </w:pPr>
      <w:r>
        <w:rPr>
          <w:b/>
        </w:rPr>
        <w:t>31/12/N+1</w:t>
      </w:r>
      <w:r>
        <w:t xml:space="preserve">, comptabilisation des ICNE </w:t>
      </w:r>
      <w:proofErr w:type="spellStart"/>
      <w:r>
        <w:t>càd</w:t>
      </w:r>
      <w:proofErr w:type="spellEnd"/>
      <w:r>
        <w:t xml:space="preserve"> 400 000 * 10% * 3/12 = 10 000</w:t>
      </w:r>
    </w:p>
    <w:p w:rsidR="00AA2C82" w:rsidRDefault="00DF751D">
      <w:pPr>
        <w:pStyle w:val="Corps"/>
        <w:tabs>
          <w:tab w:val="left" w:pos="360"/>
          <w:tab w:val="left" w:pos="3600"/>
        </w:tabs>
        <w:spacing w:line="360" w:lineRule="auto"/>
      </w:pPr>
      <w:r>
        <w:t>Les 400 000 correspondant au capital de la dette restant dû, 500 000 – 100 000</w:t>
      </w:r>
    </w:p>
    <w:p w:rsidR="00AA2C82" w:rsidRDefault="00AA2C82">
      <w:pPr>
        <w:pStyle w:val="Corps"/>
        <w:tabs>
          <w:tab w:val="left" w:pos="360"/>
          <w:tab w:val="left" w:pos="3600"/>
        </w:tabs>
        <w:spacing w:line="360" w:lineRule="auto"/>
      </w:pPr>
    </w:p>
    <w:p w:rsidR="00AA2C82" w:rsidRDefault="00DF751D">
      <w:pPr>
        <w:pStyle w:val="Corps"/>
        <w:tabs>
          <w:tab w:val="left" w:pos="360"/>
          <w:tab w:val="left" w:pos="3600"/>
        </w:tabs>
        <w:spacing w:line="360" w:lineRule="auto"/>
      </w:pPr>
      <w:r>
        <w:t>661   Charges d’intérêt           10 000</w:t>
      </w:r>
    </w:p>
    <w:p w:rsidR="00AA2C82" w:rsidRDefault="00DF751D">
      <w:pPr>
        <w:pStyle w:val="Corps"/>
        <w:tabs>
          <w:tab w:val="left" w:pos="360"/>
          <w:tab w:val="left" w:pos="3600"/>
        </w:tabs>
        <w:spacing w:line="360" w:lineRule="auto"/>
      </w:pPr>
      <w:r>
        <w:tab/>
        <w:t>168   ICNE</w:t>
      </w:r>
      <w:r>
        <w:tab/>
        <w:t>10 000</w:t>
      </w:r>
    </w:p>
    <w:p w:rsidR="00AA2C82" w:rsidRDefault="00AA2C82">
      <w:pPr>
        <w:pStyle w:val="Corps"/>
        <w:tabs>
          <w:tab w:val="left" w:pos="360"/>
          <w:tab w:val="left" w:pos="3600"/>
        </w:tabs>
        <w:spacing w:line="360" w:lineRule="auto"/>
      </w:pPr>
    </w:p>
    <w:p w:rsidR="00AA2C82" w:rsidRDefault="00DF751D">
      <w:pPr>
        <w:pStyle w:val="Corps"/>
        <w:tabs>
          <w:tab w:val="left" w:pos="360"/>
          <w:tab w:val="left" w:pos="3600"/>
        </w:tabs>
        <w:spacing w:line="360" w:lineRule="auto"/>
        <w:rPr>
          <w:b/>
          <w:u w:val="single"/>
        </w:rPr>
      </w:pPr>
      <w:r>
        <w:rPr>
          <w:b/>
          <w:u w:val="single"/>
        </w:rPr>
        <w:t xml:space="preserve">Cas particulier des emprunts obligataires </w:t>
      </w:r>
    </w:p>
    <w:p w:rsidR="00AA2C82" w:rsidRDefault="00DF751D">
      <w:pPr>
        <w:pStyle w:val="Corps"/>
        <w:tabs>
          <w:tab w:val="left" w:pos="360"/>
          <w:tab w:val="left" w:pos="3600"/>
        </w:tabs>
        <w:spacing w:line="360" w:lineRule="auto"/>
      </w:pPr>
      <w:r>
        <w:t>Utilisation du compte 163 (Autres emprunt obligataire) à la place de 164.</w:t>
      </w:r>
    </w:p>
    <w:p w:rsidR="00AA2C82" w:rsidRDefault="00DF751D">
      <w:pPr>
        <w:pStyle w:val="Corps"/>
        <w:tabs>
          <w:tab w:val="left" w:pos="360"/>
          <w:tab w:val="left" w:pos="3600"/>
        </w:tabs>
        <w:spacing w:line="360" w:lineRule="auto"/>
      </w:pPr>
      <w:r>
        <w:t>On inscrit en 163 la dette réelle : nombre d’obligations * valeur de remboursement</w:t>
      </w:r>
    </w:p>
    <w:p w:rsidR="00AA2C82" w:rsidRDefault="00AA2C82">
      <w:pPr>
        <w:pStyle w:val="Corps"/>
        <w:tabs>
          <w:tab w:val="left" w:pos="360"/>
          <w:tab w:val="left" w:pos="3600"/>
        </w:tabs>
        <w:spacing w:line="360" w:lineRule="auto"/>
      </w:pPr>
    </w:p>
    <w:p w:rsidR="00AA2C82" w:rsidRDefault="00DF751D">
      <w:pPr>
        <w:pStyle w:val="Heading5"/>
        <w:rPr>
          <w:b w:val="0"/>
          <w:bCs/>
          <w:color w:val="FF00FF"/>
          <w:sz w:val="32"/>
        </w:rPr>
      </w:pPr>
      <w:r>
        <w:rPr>
          <w:b w:val="0"/>
          <w:bCs/>
          <w:color w:val="FF00FF"/>
          <w:sz w:val="32"/>
        </w:rPr>
        <w:t>Chapitre 6 : La liquidation des sociétés</w:t>
      </w:r>
    </w:p>
    <w:p w:rsidR="00AA2C82" w:rsidRDefault="00AA2C82">
      <w:pPr>
        <w:spacing w:line="360" w:lineRule="auto"/>
        <w:jc w:val="both"/>
        <w:rPr>
          <w:rFonts w:ascii="Arial" w:hAnsi="Arial" w:cs="Arial"/>
          <w:b/>
          <w:sz w:val="22"/>
          <w:szCs w:val="32"/>
        </w:rPr>
      </w:pPr>
    </w:p>
    <w:p w:rsidR="00AA2C82" w:rsidRDefault="00DF751D">
      <w:pPr>
        <w:spacing w:line="360" w:lineRule="auto"/>
        <w:jc w:val="both"/>
        <w:rPr>
          <w:rFonts w:ascii="Arial" w:hAnsi="Arial" w:cs="Arial"/>
          <w:sz w:val="22"/>
          <w:szCs w:val="22"/>
        </w:rPr>
      </w:pPr>
      <w:r>
        <w:rPr>
          <w:rFonts w:ascii="Arial" w:hAnsi="Arial" w:cs="Arial"/>
          <w:sz w:val="22"/>
          <w:szCs w:val="22"/>
        </w:rPr>
        <w:t>On réalise tous les actifs de la société et on distribue la réalisation (liquidation) aux associés.</w:t>
      </w:r>
    </w:p>
    <w:p w:rsidR="00AA2C82" w:rsidRDefault="00AA2C82">
      <w:pPr>
        <w:spacing w:line="360" w:lineRule="auto"/>
        <w:jc w:val="both"/>
        <w:rPr>
          <w:rFonts w:ascii="Arial" w:hAnsi="Arial" w:cs="Arial"/>
          <w:sz w:val="22"/>
          <w:szCs w:val="22"/>
        </w:rPr>
      </w:pPr>
    </w:p>
    <w:p w:rsidR="00AA2C82" w:rsidRDefault="00DF751D">
      <w:pPr>
        <w:spacing w:line="360" w:lineRule="auto"/>
        <w:jc w:val="both"/>
        <w:rPr>
          <w:rFonts w:ascii="Arial" w:hAnsi="Arial" w:cs="Arial"/>
          <w:b/>
          <w:sz w:val="22"/>
          <w:szCs w:val="22"/>
          <w:u w:val="single"/>
        </w:rPr>
      </w:pPr>
      <w:r>
        <w:rPr>
          <w:rFonts w:ascii="Arial" w:hAnsi="Arial" w:cs="Arial"/>
          <w:b/>
          <w:sz w:val="22"/>
          <w:szCs w:val="22"/>
          <w:u w:val="single"/>
        </w:rPr>
        <w:lastRenderedPageBreak/>
        <w:t>Application</w:t>
      </w:r>
    </w:p>
    <w:p w:rsidR="00AA2C82" w:rsidRDefault="00DF751D">
      <w:pPr>
        <w:spacing w:line="360" w:lineRule="auto"/>
        <w:jc w:val="both"/>
        <w:rPr>
          <w:rFonts w:ascii="Arial" w:hAnsi="Arial" w:cs="Arial"/>
          <w:b/>
          <w:sz w:val="22"/>
          <w:szCs w:val="22"/>
        </w:rPr>
      </w:pPr>
      <w:r>
        <w:rPr>
          <w:rFonts w:ascii="Arial" w:hAnsi="Arial" w:cs="Arial"/>
          <w:b/>
          <w:sz w:val="22"/>
          <w:szCs w:val="22"/>
        </w:rPr>
        <w:t>Bilan</w:t>
      </w:r>
    </w:p>
    <w:p w:rsidR="00AA2C82" w:rsidRDefault="00DF751D">
      <w:pPr>
        <w:spacing w:line="360" w:lineRule="auto"/>
        <w:jc w:val="both"/>
        <w:rPr>
          <w:rFonts w:ascii="Arial" w:hAnsi="Arial" w:cs="Arial"/>
          <w:sz w:val="22"/>
          <w:szCs w:val="22"/>
          <w:u w:val="single"/>
        </w:rPr>
      </w:pPr>
      <w:r>
        <w:rPr>
          <w:rFonts w:ascii="Arial" w:hAnsi="Arial" w:cs="Arial"/>
          <w:sz w:val="22"/>
          <w:szCs w:val="22"/>
          <w:u w:val="single"/>
        </w:rPr>
        <w:t>Actif</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Passif</w:t>
      </w:r>
    </w:p>
    <w:p w:rsidR="00AA2C82" w:rsidRDefault="00DF751D">
      <w:pPr>
        <w:jc w:val="both"/>
        <w:rPr>
          <w:rFonts w:ascii="Arial" w:hAnsi="Arial" w:cs="Arial"/>
          <w:b/>
          <w:sz w:val="22"/>
          <w:szCs w:val="22"/>
        </w:rPr>
      </w:pPr>
      <w:proofErr w:type="spellStart"/>
      <w:r>
        <w:rPr>
          <w:rFonts w:ascii="Arial" w:hAnsi="Arial" w:cs="Arial"/>
          <w:b/>
          <w:sz w:val="22"/>
          <w:szCs w:val="22"/>
        </w:rPr>
        <w:t>Immo</w:t>
      </w:r>
      <w:proofErr w:type="spellEnd"/>
      <w:r>
        <w:rPr>
          <w:rFonts w:ascii="Arial" w:hAnsi="Arial" w:cs="Arial"/>
          <w:b/>
          <w:sz w:val="22"/>
          <w:szCs w:val="22"/>
        </w:rPr>
        <w:t xml:space="preserve"> </w:t>
      </w:r>
      <w:proofErr w:type="spellStart"/>
      <w:r>
        <w:rPr>
          <w:rFonts w:ascii="Arial" w:hAnsi="Arial" w:cs="Arial"/>
          <w:b/>
          <w:sz w:val="22"/>
          <w:szCs w:val="22"/>
        </w:rPr>
        <w:t>incorp</w:t>
      </w:r>
      <w:proofErr w:type="spellEnd"/>
      <w:r>
        <w:rPr>
          <w:rFonts w:ascii="Arial" w:hAnsi="Arial" w:cs="Arial"/>
          <w:b/>
          <w:sz w:val="22"/>
          <w:szCs w:val="22"/>
        </w:rPr>
        <w:t>.</w:t>
      </w:r>
      <w:r>
        <w:rPr>
          <w:rFonts w:ascii="Arial" w:hAnsi="Arial" w:cs="Arial"/>
          <w:sz w:val="22"/>
          <w:szCs w:val="22"/>
        </w:rPr>
        <w:tab/>
        <w:t>(0)</w:t>
      </w:r>
      <w:r>
        <w:rPr>
          <w:rFonts w:ascii="Arial" w:hAnsi="Arial" w:cs="Arial"/>
          <w:sz w:val="22"/>
          <w:szCs w:val="22"/>
        </w:rPr>
        <w:tab/>
      </w:r>
      <w:r>
        <w:rPr>
          <w:rFonts w:ascii="Arial" w:hAnsi="Arial" w:cs="Arial"/>
          <w:sz w:val="22"/>
          <w:szCs w:val="22"/>
        </w:rPr>
        <w:tab/>
      </w:r>
      <w:r>
        <w:rPr>
          <w:rFonts w:ascii="Arial" w:hAnsi="Arial" w:cs="Arial"/>
          <w:b/>
          <w:sz w:val="22"/>
          <w:szCs w:val="22"/>
        </w:rPr>
        <w:t>500</w:t>
      </w:r>
      <w:r>
        <w:rPr>
          <w:rFonts w:ascii="Arial" w:hAnsi="Arial" w:cs="Arial"/>
          <w:b/>
          <w:sz w:val="22"/>
          <w:szCs w:val="22"/>
        </w:rPr>
        <w:tab/>
      </w:r>
      <w:r>
        <w:rPr>
          <w:rFonts w:ascii="Arial" w:hAnsi="Arial" w:cs="Arial"/>
          <w:sz w:val="22"/>
          <w:szCs w:val="22"/>
        </w:rPr>
        <w:tab/>
      </w:r>
      <w:proofErr w:type="spellStart"/>
      <w:r>
        <w:rPr>
          <w:rFonts w:ascii="Arial" w:hAnsi="Arial" w:cs="Arial"/>
          <w:b/>
          <w:sz w:val="22"/>
          <w:szCs w:val="22"/>
        </w:rPr>
        <w:t>Kal</w:t>
      </w:r>
      <w:proofErr w:type="spellEnd"/>
      <w:r>
        <w:rPr>
          <w:rFonts w:ascii="Arial" w:hAnsi="Arial" w:cs="Arial"/>
          <w:b/>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60 000</w:t>
      </w:r>
    </w:p>
    <w:p w:rsidR="00AA2C82" w:rsidRDefault="00DF751D">
      <w:pPr>
        <w:jc w:val="both"/>
        <w:rPr>
          <w:rFonts w:ascii="Arial" w:hAnsi="Arial" w:cs="Arial"/>
          <w:sz w:val="22"/>
          <w:szCs w:val="22"/>
        </w:rPr>
      </w:pPr>
      <w:proofErr w:type="spellStart"/>
      <w:r>
        <w:rPr>
          <w:rFonts w:ascii="Arial" w:hAnsi="Arial" w:cs="Arial"/>
          <w:b/>
          <w:sz w:val="22"/>
          <w:szCs w:val="22"/>
        </w:rPr>
        <w:t>Immo</w:t>
      </w:r>
      <w:proofErr w:type="spellEnd"/>
      <w:r>
        <w:rPr>
          <w:rFonts w:ascii="Arial" w:hAnsi="Arial" w:cs="Arial"/>
          <w:b/>
          <w:sz w:val="22"/>
          <w:szCs w:val="22"/>
        </w:rPr>
        <w:t xml:space="preserve"> </w:t>
      </w:r>
      <w:proofErr w:type="spellStart"/>
      <w:r>
        <w:rPr>
          <w:rFonts w:ascii="Arial" w:hAnsi="Arial" w:cs="Arial"/>
          <w:b/>
          <w:sz w:val="22"/>
          <w:szCs w:val="22"/>
        </w:rPr>
        <w:t>corp.</w:t>
      </w:r>
      <w:proofErr w:type="spellEnd"/>
      <w:r>
        <w:rPr>
          <w:rFonts w:ascii="Arial" w:hAnsi="Arial" w:cs="Arial"/>
          <w:sz w:val="22"/>
          <w:szCs w:val="22"/>
        </w:rPr>
        <w:tab/>
        <w:t>(40 000)</w:t>
      </w:r>
      <w:r>
        <w:rPr>
          <w:rFonts w:ascii="Arial" w:hAnsi="Arial" w:cs="Arial"/>
          <w:sz w:val="22"/>
          <w:szCs w:val="22"/>
        </w:rPr>
        <w:tab/>
      </w:r>
      <w:r>
        <w:rPr>
          <w:rFonts w:ascii="Arial" w:hAnsi="Arial" w:cs="Arial"/>
          <w:b/>
          <w:sz w:val="22"/>
          <w:szCs w:val="22"/>
        </w:rPr>
        <w:t>20 000</w:t>
      </w:r>
      <w:r>
        <w:rPr>
          <w:rFonts w:ascii="Arial" w:hAnsi="Arial" w:cs="Arial"/>
          <w:sz w:val="22"/>
          <w:szCs w:val="22"/>
        </w:rPr>
        <w:tab/>
      </w:r>
      <w:r>
        <w:rPr>
          <w:rFonts w:ascii="Arial" w:hAnsi="Arial" w:cs="Arial"/>
          <w:sz w:val="22"/>
          <w:szCs w:val="22"/>
        </w:rPr>
        <w:tab/>
      </w:r>
      <w:r>
        <w:rPr>
          <w:rFonts w:ascii="Arial" w:hAnsi="Arial" w:cs="Arial"/>
          <w:b/>
          <w:sz w:val="22"/>
          <w:szCs w:val="22"/>
        </w:rPr>
        <w:t>Réserves</w:t>
      </w:r>
      <w:r>
        <w:rPr>
          <w:rFonts w:ascii="Arial" w:hAnsi="Arial" w:cs="Arial"/>
          <w:sz w:val="22"/>
          <w:szCs w:val="22"/>
        </w:rPr>
        <w:tab/>
      </w:r>
      <w:r>
        <w:rPr>
          <w:rFonts w:ascii="Arial" w:hAnsi="Arial" w:cs="Arial"/>
          <w:sz w:val="22"/>
          <w:szCs w:val="22"/>
        </w:rPr>
        <w:tab/>
      </w:r>
      <w:r>
        <w:rPr>
          <w:rFonts w:ascii="Arial" w:hAnsi="Arial" w:cs="Arial"/>
          <w:b/>
          <w:sz w:val="22"/>
          <w:szCs w:val="22"/>
        </w:rPr>
        <w:t>10 000</w:t>
      </w:r>
    </w:p>
    <w:p w:rsidR="00AA2C82" w:rsidRPr="00C157CD" w:rsidRDefault="00DF751D">
      <w:pPr>
        <w:jc w:val="both"/>
        <w:rPr>
          <w:rFonts w:ascii="Arial" w:hAnsi="Arial" w:cs="Arial"/>
          <w:sz w:val="22"/>
          <w:szCs w:val="22"/>
        </w:rPr>
      </w:pPr>
      <w:r w:rsidRPr="00C157CD">
        <w:rPr>
          <w:rFonts w:ascii="Arial" w:hAnsi="Arial" w:cs="Arial"/>
          <w:b/>
          <w:sz w:val="22"/>
          <w:szCs w:val="22"/>
        </w:rPr>
        <w:t xml:space="preserve">Stocks           </w:t>
      </w:r>
      <w:r w:rsidRPr="00C157CD">
        <w:rPr>
          <w:rFonts w:ascii="Arial" w:hAnsi="Arial" w:cs="Arial"/>
          <w:sz w:val="22"/>
          <w:szCs w:val="22"/>
        </w:rPr>
        <w:t>(val.</w:t>
      </w:r>
      <w:r w:rsidRPr="00C157CD">
        <w:rPr>
          <w:rFonts w:ascii="Arial" w:hAnsi="Arial" w:cs="Arial"/>
          <w:b/>
          <w:sz w:val="22"/>
          <w:szCs w:val="22"/>
        </w:rPr>
        <w:t xml:space="preserve"> </w:t>
      </w:r>
      <w:r w:rsidRPr="00C157CD">
        <w:rPr>
          <w:rFonts w:ascii="Arial" w:hAnsi="Arial" w:cs="Arial"/>
          <w:sz w:val="22"/>
          <w:szCs w:val="22"/>
        </w:rPr>
        <w:t>34 000)</w:t>
      </w:r>
      <w:r w:rsidRPr="00C157CD">
        <w:rPr>
          <w:rFonts w:ascii="Arial" w:hAnsi="Arial" w:cs="Arial"/>
          <w:sz w:val="22"/>
          <w:szCs w:val="22"/>
        </w:rPr>
        <w:tab/>
      </w:r>
      <w:r w:rsidRPr="00C157CD">
        <w:rPr>
          <w:rFonts w:ascii="Arial" w:hAnsi="Arial" w:cs="Arial"/>
          <w:b/>
          <w:sz w:val="22"/>
          <w:szCs w:val="22"/>
        </w:rPr>
        <w:t>40 000</w:t>
      </w:r>
      <w:r w:rsidRPr="00C157CD">
        <w:rPr>
          <w:rFonts w:ascii="Arial" w:hAnsi="Arial" w:cs="Arial"/>
          <w:sz w:val="22"/>
          <w:szCs w:val="22"/>
        </w:rPr>
        <w:tab/>
      </w:r>
      <w:r w:rsidRPr="00C157CD">
        <w:rPr>
          <w:rFonts w:ascii="Arial" w:hAnsi="Arial" w:cs="Arial"/>
          <w:sz w:val="22"/>
          <w:szCs w:val="22"/>
        </w:rPr>
        <w:tab/>
      </w:r>
      <w:r w:rsidRPr="00C157CD">
        <w:rPr>
          <w:rFonts w:ascii="Arial" w:hAnsi="Arial" w:cs="Arial"/>
          <w:b/>
          <w:sz w:val="22"/>
          <w:szCs w:val="22"/>
        </w:rPr>
        <w:t>RAN</w:t>
      </w:r>
      <w:r w:rsidRPr="00C157CD">
        <w:rPr>
          <w:rFonts w:ascii="Arial" w:hAnsi="Arial" w:cs="Arial"/>
          <w:sz w:val="22"/>
          <w:szCs w:val="22"/>
        </w:rPr>
        <w:tab/>
      </w:r>
      <w:r w:rsidRPr="00C157CD">
        <w:rPr>
          <w:rFonts w:ascii="Arial" w:hAnsi="Arial" w:cs="Arial"/>
          <w:sz w:val="22"/>
          <w:szCs w:val="22"/>
        </w:rPr>
        <w:tab/>
      </w:r>
      <w:r w:rsidRPr="00C157CD">
        <w:rPr>
          <w:rFonts w:ascii="Arial" w:hAnsi="Arial" w:cs="Arial"/>
          <w:sz w:val="22"/>
          <w:szCs w:val="22"/>
        </w:rPr>
        <w:tab/>
      </w:r>
      <w:r w:rsidRPr="00C157CD">
        <w:rPr>
          <w:rFonts w:ascii="Arial" w:hAnsi="Arial" w:cs="Arial"/>
          <w:b/>
          <w:sz w:val="22"/>
          <w:szCs w:val="22"/>
        </w:rPr>
        <w:t>(20 000)</w:t>
      </w:r>
    </w:p>
    <w:p w:rsidR="00AA2C82" w:rsidRDefault="00DF751D">
      <w:pPr>
        <w:jc w:val="both"/>
        <w:rPr>
          <w:rFonts w:ascii="Arial" w:hAnsi="Arial" w:cs="Arial"/>
          <w:sz w:val="22"/>
          <w:szCs w:val="22"/>
        </w:rPr>
      </w:pPr>
      <w:r>
        <w:rPr>
          <w:rFonts w:ascii="Arial" w:hAnsi="Arial" w:cs="Arial"/>
          <w:b/>
          <w:sz w:val="22"/>
          <w:szCs w:val="22"/>
        </w:rPr>
        <w:t>Créances</w:t>
      </w:r>
      <w:r>
        <w:rPr>
          <w:rFonts w:ascii="Arial" w:hAnsi="Arial" w:cs="Arial"/>
          <w:sz w:val="22"/>
          <w:szCs w:val="22"/>
        </w:rPr>
        <w:tab/>
        <w:t>(9 000)</w:t>
      </w:r>
      <w:r>
        <w:rPr>
          <w:rFonts w:ascii="Arial" w:hAnsi="Arial" w:cs="Arial"/>
          <w:sz w:val="22"/>
          <w:szCs w:val="22"/>
        </w:rPr>
        <w:tab/>
      </w:r>
      <w:r>
        <w:rPr>
          <w:rFonts w:ascii="Arial" w:hAnsi="Arial" w:cs="Arial"/>
          <w:sz w:val="22"/>
          <w:szCs w:val="22"/>
        </w:rPr>
        <w:tab/>
      </w:r>
      <w:r>
        <w:rPr>
          <w:rFonts w:ascii="Arial" w:hAnsi="Arial" w:cs="Arial"/>
          <w:b/>
          <w:sz w:val="22"/>
          <w:szCs w:val="22"/>
        </w:rPr>
        <w:t>14 000</w:t>
      </w:r>
      <w:r>
        <w:rPr>
          <w:rFonts w:ascii="Arial" w:hAnsi="Arial" w:cs="Arial"/>
          <w:sz w:val="22"/>
          <w:szCs w:val="22"/>
        </w:rPr>
        <w:tab/>
      </w:r>
      <w:r>
        <w:rPr>
          <w:rFonts w:ascii="Arial" w:hAnsi="Arial" w:cs="Arial"/>
          <w:sz w:val="22"/>
          <w:szCs w:val="22"/>
        </w:rPr>
        <w:tab/>
      </w:r>
      <w:r>
        <w:rPr>
          <w:rFonts w:ascii="Arial" w:hAnsi="Arial" w:cs="Arial"/>
          <w:b/>
          <w:sz w:val="22"/>
          <w:szCs w:val="22"/>
        </w:rPr>
        <w:t>Dettes fi</w:t>
      </w:r>
      <w:r>
        <w:rPr>
          <w:rFonts w:ascii="Arial" w:hAnsi="Arial" w:cs="Arial"/>
          <w:sz w:val="22"/>
          <w:szCs w:val="22"/>
        </w:rPr>
        <w:tab/>
      </w:r>
      <w:r>
        <w:rPr>
          <w:rFonts w:ascii="Arial" w:hAnsi="Arial" w:cs="Arial"/>
          <w:sz w:val="22"/>
          <w:szCs w:val="22"/>
        </w:rPr>
        <w:tab/>
      </w:r>
      <w:r>
        <w:rPr>
          <w:rFonts w:ascii="Arial" w:hAnsi="Arial" w:cs="Arial"/>
          <w:b/>
          <w:sz w:val="22"/>
          <w:szCs w:val="22"/>
        </w:rPr>
        <w:t>6 000</w:t>
      </w:r>
      <w:r>
        <w:rPr>
          <w:rFonts w:ascii="Arial" w:hAnsi="Arial" w:cs="Arial"/>
          <w:sz w:val="22"/>
          <w:szCs w:val="22"/>
        </w:rPr>
        <w:t xml:space="preserve"> (C/c:A:5000, B:1000)</w:t>
      </w:r>
    </w:p>
    <w:p w:rsidR="00AA2C82" w:rsidRDefault="00DF751D">
      <w:pPr>
        <w:spacing w:line="360" w:lineRule="auto"/>
        <w:jc w:val="both"/>
        <w:rPr>
          <w:rFonts w:ascii="Arial" w:hAnsi="Arial" w:cs="Arial"/>
          <w:b/>
          <w:sz w:val="22"/>
          <w:szCs w:val="22"/>
        </w:rPr>
      </w:pPr>
      <w:r>
        <w:rPr>
          <w:rFonts w:ascii="Arial" w:hAnsi="Arial" w:cs="Arial"/>
          <w:b/>
          <w:sz w:val="22"/>
          <w:szCs w:val="22"/>
        </w:rPr>
        <w:t>Dispo</w:t>
      </w:r>
      <w:r>
        <w:rPr>
          <w:rFonts w:ascii="Arial" w:hAnsi="Arial" w:cs="Arial"/>
          <w:b/>
          <w:sz w:val="22"/>
          <w:szCs w:val="22"/>
        </w:rPr>
        <w:tab/>
      </w:r>
      <w:r>
        <w:rPr>
          <w:rFonts w:ascii="Arial" w:hAnsi="Arial" w:cs="Arial"/>
          <w:sz w:val="22"/>
          <w:szCs w:val="22"/>
        </w:rPr>
        <w:tab/>
        <w:t>(10 000)</w:t>
      </w:r>
      <w:r>
        <w:rPr>
          <w:rFonts w:ascii="Arial" w:hAnsi="Arial" w:cs="Arial"/>
          <w:sz w:val="22"/>
          <w:szCs w:val="22"/>
        </w:rPr>
        <w:tab/>
      </w:r>
      <w:r>
        <w:rPr>
          <w:rFonts w:ascii="Arial" w:hAnsi="Arial" w:cs="Arial"/>
          <w:b/>
          <w:sz w:val="22"/>
          <w:szCs w:val="22"/>
        </w:rPr>
        <w:t>10 000</w:t>
      </w:r>
      <w:r>
        <w:rPr>
          <w:rFonts w:ascii="Arial" w:hAnsi="Arial" w:cs="Arial"/>
          <w:b/>
          <w:sz w:val="22"/>
          <w:szCs w:val="22"/>
        </w:rPr>
        <w:tab/>
      </w:r>
      <w:r>
        <w:rPr>
          <w:rFonts w:ascii="Arial" w:hAnsi="Arial" w:cs="Arial"/>
          <w:sz w:val="22"/>
          <w:szCs w:val="22"/>
        </w:rPr>
        <w:tab/>
      </w:r>
      <w:r>
        <w:rPr>
          <w:rFonts w:ascii="Arial" w:hAnsi="Arial" w:cs="Arial"/>
          <w:b/>
          <w:sz w:val="22"/>
          <w:szCs w:val="22"/>
        </w:rPr>
        <w:t>Dettes frs</w:t>
      </w:r>
      <w:r>
        <w:rPr>
          <w:rFonts w:ascii="Arial" w:hAnsi="Arial" w:cs="Arial"/>
          <w:sz w:val="22"/>
          <w:szCs w:val="22"/>
        </w:rPr>
        <w:tab/>
      </w:r>
      <w:r>
        <w:rPr>
          <w:rFonts w:ascii="Arial" w:hAnsi="Arial" w:cs="Arial"/>
          <w:sz w:val="22"/>
          <w:szCs w:val="22"/>
        </w:rPr>
        <w:tab/>
      </w:r>
      <w:r>
        <w:rPr>
          <w:rFonts w:ascii="Arial" w:hAnsi="Arial" w:cs="Arial"/>
          <w:b/>
          <w:sz w:val="22"/>
          <w:szCs w:val="22"/>
        </w:rPr>
        <w:t>28 500</w:t>
      </w:r>
    </w:p>
    <w:p w:rsidR="00AA2C82" w:rsidRDefault="00AA2C82">
      <w:pPr>
        <w:spacing w:line="360" w:lineRule="auto"/>
        <w:jc w:val="both"/>
        <w:rPr>
          <w:rFonts w:ascii="Arial" w:hAnsi="Arial" w:cs="Arial"/>
          <w:b/>
          <w:sz w:val="22"/>
          <w:szCs w:val="22"/>
        </w:rPr>
      </w:pPr>
    </w:p>
    <w:p w:rsidR="00AA2C82" w:rsidRDefault="00DF751D">
      <w:pPr>
        <w:spacing w:line="360" w:lineRule="auto"/>
        <w:jc w:val="both"/>
        <w:rPr>
          <w:rFonts w:ascii="Arial" w:hAnsi="Arial" w:cs="Arial"/>
          <w:b/>
          <w:sz w:val="22"/>
          <w:szCs w:val="22"/>
        </w:rPr>
      </w:pPr>
      <w:r>
        <w:rPr>
          <w:rFonts w:ascii="Arial" w:hAnsi="Arial" w:cs="Arial"/>
          <w:b/>
          <w:sz w:val="22"/>
          <w:szCs w:val="22"/>
        </w:rPr>
        <w:t>=&gt; Réalisation</w:t>
      </w:r>
    </w:p>
    <w:p w:rsidR="00AA2C82" w:rsidRDefault="00AA2C82">
      <w:pPr>
        <w:spacing w:line="360" w:lineRule="auto"/>
        <w:jc w:val="both"/>
        <w:rPr>
          <w:rFonts w:ascii="Arial" w:hAnsi="Arial" w:cs="Arial"/>
          <w:b/>
          <w:sz w:val="22"/>
          <w:szCs w:val="22"/>
        </w:rPr>
      </w:pPr>
    </w:p>
    <w:p w:rsidR="00AA2C82" w:rsidRDefault="00DF751D">
      <w:pPr>
        <w:jc w:val="both"/>
        <w:rPr>
          <w:rFonts w:ascii="Arial" w:hAnsi="Arial" w:cs="Arial"/>
          <w:sz w:val="22"/>
          <w:szCs w:val="22"/>
        </w:rPr>
      </w:pPr>
      <w:r>
        <w:rPr>
          <w:rFonts w:ascii="Arial" w:hAnsi="Arial" w:cs="Arial"/>
          <w:sz w:val="22"/>
          <w:szCs w:val="22"/>
        </w:rPr>
        <w:t>1288</w:t>
      </w:r>
      <w:r>
        <w:rPr>
          <w:rFonts w:ascii="Arial" w:hAnsi="Arial" w:cs="Arial"/>
          <w:sz w:val="22"/>
          <w:szCs w:val="22"/>
        </w:rPr>
        <w:tab/>
        <w:t>Résultat de liquidation (VCEAC)</w:t>
      </w:r>
      <w:r>
        <w:rPr>
          <w:rFonts w:ascii="Arial" w:hAnsi="Arial" w:cs="Arial"/>
          <w:sz w:val="22"/>
          <w:szCs w:val="22"/>
        </w:rPr>
        <w:tab/>
        <w:t>20 500</w:t>
      </w:r>
    </w:p>
    <w:p w:rsidR="00AA2C82" w:rsidRDefault="00DF751D">
      <w:pPr>
        <w:jc w:val="both"/>
        <w:rPr>
          <w:rFonts w:ascii="Arial" w:hAnsi="Arial" w:cs="Arial"/>
          <w:sz w:val="22"/>
          <w:szCs w:val="22"/>
        </w:rPr>
      </w:pPr>
      <w:r>
        <w:rPr>
          <w:rFonts w:ascii="Arial" w:hAnsi="Arial" w:cs="Arial"/>
          <w:sz w:val="22"/>
          <w:szCs w:val="22"/>
        </w:rPr>
        <w:tab/>
        <w:t xml:space="preserve">20+280 </w:t>
      </w:r>
      <w:proofErr w:type="spellStart"/>
      <w:r>
        <w:rPr>
          <w:rFonts w:ascii="Arial" w:hAnsi="Arial" w:cs="Arial"/>
          <w:sz w:val="22"/>
          <w:szCs w:val="22"/>
        </w:rPr>
        <w:t>Immo</w:t>
      </w:r>
      <w:proofErr w:type="spellEnd"/>
      <w:r>
        <w:rPr>
          <w:rFonts w:ascii="Arial" w:hAnsi="Arial" w:cs="Arial"/>
          <w:sz w:val="22"/>
          <w:szCs w:val="22"/>
        </w:rPr>
        <w:t xml:space="preserve"> </w:t>
      </w:r>
      <w:proofErr w:type="spellStart"/>
      <w:r>
        <w:rPr>
          <w:rFonts w:ascii="Arial" w:hAnsi="Arial" w:cs="Arial"/>
          <w:sz w:val="22"/>
          <w:szCs w:val="22"/>
        </w:rPr>
        <w:t>incorp</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500</w:t>
      </w:r>
    </w:p>
    <w:p w:rsidR="00AA2C82" w:rsidRDefault="00DF751D">
      <w:pPr>
        <w:jc w:val="both"/>
        <w:rPr>
          <w:rFonts w:ascii="Arial" w:hAnsi="Arial" w:cs="Arial"/>
          <w:sz w:val="22"/>
          <w:szCs w:val="22"/>
        </w:rPr>
      </w:pPr>
      <w:r>
        <w:rPr>
          <w:rFonts w:ascii="Arial" w:hAnsi="Arial" w:cs="Arial"/>
          <w:sz w:val="22"/>
          <w:szCs w:val="22"/>
        </w:rPr>
        <w:tab/>
        <w:t xml:space="preserve">21+281 </w:t>
      </w:r>
      <w:proofErr w:type="spellStart"/>
      <w:r>
        <w:rPr>
          <w:rFonts w:ascii="Arial" w:hAnsi="Arial" w:cs="Arial"/>
          <w:sz w:val="22"/>
          <w:szCs w:val="22"/>
        </w:rPr>
        <w:t>Immo</w:t>
      </w:r>
      <w:proofErr w:type="spellEnd"/>
      <w:r>
        <w:rPr>
          <w:rFonts w:ascii="Arial" w:hAnsi="Arial" w:cs="Arial"/>
          <w:sz w:val="22"/>
          <w:szCs w:val="22"/>
        </w:rPr>
        <w:t xml:space="preserve"> </w:t>
      </w:r>
      <w:proofErr w:type="spellStart"/>
      <w:r>
        <w:rPr>
          <w:rFonts w:ascii="Arial" w:hAnsi="Arial" w:cs="Arial"/>
          <w:sz w:val="22"/>
          <w:szCs w:val="22"/>
        </w:rPr>
        <w:t>corp</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20 000</w:t>
      </w:r>
    </w:p>
    <w:p w:rsidR="00AA2C82" w:rsidRDefault="00AA2C82">
      <w:pPr>
        <w:jc w:val="both"/>
        <w:rPr>
          <w:rFonts w:ascii="Arial" w:hAnsi="Arial" w:cs="Arial"/>
          <w:sz w:val="22"/>
          <w:szCs w:val="22"/>
        </w:rPr>
      </w:pPr>
    </w:p>
    <w:p w:rsidR="00AA2C82" w:rsidRDefault="00DF751D">
      <w:pPr>
        <w:jc w:val="both"/>
        <w:rPr>
          <w:rFonts w:ascii="Arial" w:hAnsi="Arial" w:cs="Arial"/>
          <w:sz w:val="22"/>
          <w:szCs w:val="22"/>
        </w:rPr>
      </w:pPr>
      <w:r>
        <w:rPr>
          <w:rFonts w:ascii="Arial" w:hAnsi="Arial" w:cs="Arial"/>
          <w:sz w:val="22"/>
          <w:szCs w:val="22"/>
        </w:rPr>
        <w:t>467</w:t>
      </w:r>
      <w:r>
        <w:rPr>
          <w:rFonts w:ascii="Arial" w:hAnsi="Arial" w:cs="Arial"/>
          <w:sz w:val="22"/>
          <w:szCs w:val="22"/>
        </w:rPr>
        <w:tab/>
        <w:t>Liquidateur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40 000</w:t>
      </w:r>
    </w:p>
    <w:p w:rsidR="00AA2C82" w:rsidRDefault="00DF751D">
      <w:pPr>
        <w:jc w:val="both"/>
        <w:rPr>
          <w:rFonts w:ascii="Arial" w:hAnsi="Arial" w:cs="Arial"/>
          <w:sz w:val="22"/>
          <w:szCs w:val="22"/>
        </w:rPr>
      </w:pPr>
      <w:r>
        <w:rPr>
          <w:rFonts w:ascii="Arial" w:hAnsi="Arial" w:cs="Arial"/>
          <w:sz w:val="22"/>
          <w:szCs w:val="22"/>
        </w:rPr>
        <w:tab/>
        <w:t>1288</w:t>
      </w:r>
      <w:r>
        <w:rPr>
          <w:rFonts w:ascii="Arial" w:hAnsi="Arial" w:cs="Arial"/>
          <w:sz w:val="22"/>
          <w:szCs w:val="22"/>
        </w:rPr>
        <w:tab/>
        <w:t>Résultat de liquidation</w:t>
      </w:r>
      <w:r>
        <w:rPr>
          <w:rFonts w:ascii="Arial" w:hAnsi="Arial" w:cs="Arial"/>
          <w:sz w:val="22"/>
          <w:szCs w:val="22"/>
        </w:rPr>
        <w:tab/>
      </w:r>
      <w:r>
        <w:rPr>
          <w:rFonts w:ascii="Arial" w:hAnsi="Arial" w:cs="Arial"/>
          <w:sz w:val="22"/>
          <w:szCs w:val="22"/>
        </w:rPr>
        <w:tab/>
        <w:t>40 000</w:t>
      </w:r>
    </w:p>
    <w:p w:rsidR="00AA2C82" w:rsidRDefault="00AA2C82">
      <w:pPr>
        <w:jc w:val="both"/>
        <w:rPr>
          <w:rFonts w:ascii="Arial" w:hAnsi="Arial" w:cs="Arial"/>
          <w:sz w:val="22"/>
          <w:szCs w:val="22"/>
        </w:rPr>
      </w:pPr>
    </w:p>
    <w:p w:rsidR="00AA2C82" w:rsidRDefault="00DF751D">
      <w:pPr>
        <w:jc w:val="both"/>
        <w:rPr>
          <w:rFonts w:ascii="Arial" w:hAnsi="Arial" w:cs="Arial"/>
          <w:sz w:val="22"/>
          <w:szCs w:val="22"/>
        </w:rPr>
      </w:pPr>
      <w:r>
        <w:rPr>
          <w:rFonts w:ascii="Arial" w:hAnsi="Arial" w:cs="Arial"/>
          <w:sz w:val="22"/>
          <w:szCs w:val="22"/>
        </w:rPr>
        <w:t>467</w:t>
      </w:r>
      <w:r>
        <w:rPr>
          <w:rFonts w:ascii="Arial" w:hAnsi="Arial" w:cs="Arial"/>
          <w:sz w:val="22"/>
          <w:szCs w:val="22"/>
        </w:rPr>
        <w:tab/>
        <w:t>Liquidateur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34 000</w:t>
      </w:r>
    </w:p>
    <w:p w:rsidR="00AA2C82" w:rsidRDefault="00DF751D">
      <w:pPr>
        <w:jc w:val="both"/>
        <w:rPr>
          <w:rFonts w:ascii="Arial" w:hAnsi="Arial" w:cs="Arial"/>
          <w:sz w:val="22"/>
          <w:szCs w:val="22"/>
        </w:rPr>
      </w:pPr>
      <w:r>
        <w:rPr>
          <w:rFonts w:ascii="Arial" w:hAnsi="Arial" w:cs="Arial"/>
          <w:sz w:val="22"/>
          <w:szCs w:val="22"/>
        </w:rPr>
        <w:t>1288</w:t>
      </w:r>
      <w:r>
        <w:rPr>
          <w:rFonts w:ascii="Arial" w:hAnsi="Arial" w:cs="Arial"/>
          <w:sz w:val="22"/>
          <w:szCs w:val="22"/>
        </w:rPr>
        <w:tab/>
        <w:t>Résultat de liquidation</w:t>
      </w:r>
      <w:r>
        <w:rPr>
          <w:rFonts w:ascii="Arial" w:hAnsi="Arial" w:cs="Arial"/>
          <w:sz w:val="22"/>
          <w:szCs w:val="22"/>
        </w:rPr>
        <w:tab/>
      </w:r>
      <w:r>
        <w:rPr>
          <w:rFonts w:ascii="Arial" w:hAnsi="Arial" w:cs="Arial"/>
          <w:sz w:val="22"/>
          <w:szCs w:val="22"/>
        </w:rPr>
        <w:tab/>
        <w:t xml:space="preserve">  6 000</w:t>
      </w:r>
    </w:p>
    <w:p w:rsidR="00AA2C82" w:rsidRDefault="00DF751D">
      <w:pPr>
        <w:jc w:val="both"/>
        <w:rPr>
          <w:rFonts w:ascii="Arial" w:hAnsi="Arial" w:cs="Arial"/>
          <w:sz w:val="22"/>
          <w:szCs w:val="22"/>
        </w:rPr>
      </w:pPr>
      <w:r>
        <w:rPr>
          <w:rFonts w:ascii="Arial" w:hAnsi="Arial" w:cs="Arial"/>
          <w:sz w:val="22"/>
          <w:szCs w:val="22"/>
        </w:rPr>
        <w:tab/>
        <w:t xml:space="preserve">3 </w:t>
      </w:r>
      <w:r>
        <w:rPr>
          <w:rFonts w:ascii="Arial" w:hAnsi="Arial" w:cs="Arial"/>
          <w:sz w:val="22"/>
          <w:szCs w:val="22"/>
        </w:rPr>
        <w:tab/>
        <w:t>Stocks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40 000</w:t>
      </w:r>
    </w:p>
    <w:p w:rsidR="00AA2C82" w:rsidRDefault="00AA2C82">
      <w:pPr>
        <w:jc w:val="both"/>
        <w:rPr>
          <w:rFonts w:ascii="Arial" w:hAnsi="Arial" w:cs="Arial"/>
          <w:sz w:val="22"/>
          <w:szCs w:val="22"/>
        </w:rPr>
      </w:pPr>
    </w:p>
    <w:p w:rsidR="00AA2C82" w:rsidRDefault="00DF751D">
      <w:pPr>
        <w:jc w:val="both"/>
        <w:rPr>
          <w:rFonts w:ascii="Arial" w:hAnsi="Arial" w:cs="Arial"/>
          <w:sz w:val="22"/>
          <w:szCs w:val="22"/>
        </w:rPr>
      </w:pPr>
      <w:r>
        <w:rPr>
          <w:rFonts w:ascii="Arial" w:hAnsi="Arial" w:cs="Arial"/>
          <w:sz w:val="22"/>
          <w:szCs w:val="22"/>
        </w:rPr>
        <w:t>467</w:t>
      </w:r>
      <w:r>
        <w:rPr>
          <w:rFonts w:ascii="Arial" w:hAnsi="Arial" w:cs="Arial"/>
          <w:sz w:val="22"/>
          <w:szCs w:val="22"/>
        </w:rPr>
        <w:tab/>
        <w:t>Liquidateur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9 000</w:t>
      </w:r>
    </w:p>
    <w:p w:rsidR="00AA2C82" w:rsidRDefault="00DF751D">
      <w:pPr>
        <w:jc w:val="both"/>
        <w:rPr>
          <w:rFonts w:ascii="Arial" w:hAnsi="Arial" w:cs="Arial"/>
          <w:sz w:val="22"/>
          <w:szCs w:val="22"/>
        </w:rPr>
      </w:pPr>
      <w:r>
        <w:rPr>
          <w:rFonts w:ascii="Arial" w:hAnsi="Arial" w:cs="Arial"/>
          <w:sz w:val="22"/>
          <w:szCs w:val="22"/>
        </w:rPr>
        <w:t>1288</w:t>
      </w:r>
      <w:r>
        <w:rPr>
          <w:rFonts w:ascii="Arial" w:hAnsi="Arial" w:cs="Arial"/>
          <w:sz w:val="22"/>
          <w:szCs w:val="22"/>
        </w:rPr>
        <w:tab/>
        <w:t>Résultat de liquidation</w:t>
      </w:r>
      <w:r>
        <w:rPr>
          <w:rFonts w:ascii="Arial" w:hAnsi="Arial" w:cs="Arial"/>
          <w:sz w:val="22"/>
          <w:szCs w:val="22"/>
        </w:rPr>
        <w:tab/>
      </w:r>
      <w:r>
        <w:rPr>
          <w:rFonts w:ascii="Arial" w:hAnsi="Arial" w:cs="Arial"/>
          <w:sz w:val="22"/>
          <w:szCs w:val="22"/>
        </w:rPr>
        <w:tab/>
        <w:t xml:space="preserve"> 5 000</w:t>
      </w:r>
    </w:p>
    <w:p w:rsidR="00AA2C82" w:rsidRDefault="00DF751D">
      <w:pPr>
        <w:jc w:val="both"/>
        <w:rPr>
          <w:rFonts w:ascii="Arial" w:hAnsi="Arial" w:cs="Arial"/>
          <w:sz w:val="22"/>
          <w:szCs w:val="22"/>
        </w:rPr>
      </w:pPr>
      <w:r>
        <w:rPr>
          <w:rFonts w:ascii="Arial" w:hAnsi="Arial" w:cs="Arial"/>
          <w:sz w:val="22"/>
          <w:szCs w:val="22"/>
        </w:rPr>
        <w:tab/>
        <w:t>411</w:t>
      </w:r>
      <w:r>
        <w:rPr>
          <w:rFonts w:ascii="Arial" w:hAnsi="Arial" w:cs="Arial"/>
          <w:sz w:val="22"/>
          <w:szCs w:val="22"/>
        </w:rPr>
        <w:tab/>
        <w:t>Créances clients</w:t>
      </w:r>
      <w:r>
        <w:rPr>
          <w:rFonts w:ascii="Arial" w:hAnsi="Arial" w:cs="Arial"/>
          <w:sz w:val="22"/>
          <w:szCs w:val="22"/>
        </w:rPr>
        <w:tab/>
      </w:r>
      <w:r>
        <w:rPr>
          <w:rFonts w:ascii="Arial" w:hAnsi="Arial" w:cs="Arial"/>
          <w:sz w:val="22"/>
          <w:szCs w:val="22"/>
        </w:rPr>
        <w:tab/>
      </w:r>
      <w:r>
        <w:rPr>
          <w:rFonts w:ascii="Arial" w:hAnsi="Arial" w:cs="Arial"/>
          <w:sz w:val="22"/>
          <w:szCs w:val="22"/>
        </w:rPr>
        <w:tab/>
        <w:t>14 000</w:t>
      </w:r>
    </w:p>
    <w:p w:rsidR="00AA2C82" w:rsidRDefault="00AA2C82">
      <w:pPr>
        <w:jc w:val="both"/>
        <w:rPr>
          <w:rFonts w:ascii="Arial" w:hAnsi="Arial" w:cs="Arial"/>
          <w:sz w:val="22"/>
          <w:szCs w:val="22"/>
        </w:rPr>
      </w:pPr>
    </w:p>
    <w:p w:rsidR="00AA2C82" w:rsidRDefault="00DF751D">
      <w:pPr>
        <w:jc w:val="both"/>
        <w:rPr>
          <w:rFonts w:ascii="Arial" w:hAnsi="Arial" w:cs="Arial"/>
          <w:sz w:val="22"/>
          <w:szCs w:val="22"/>
        </w:rPr>
      </w:pPr>
      <w:r>
        <w:rPr>
          <w:rFonts w:ascii="Arial" w:hAnsi="Arial" w:cs="Arial"/>
          <w:sz w:val="22"/>
          <w:szCs w:val="22"/>
        </w:rPr>
        <w:t>467</w:t>
      </w:r>
      <w:r>
        <w:rPr>
          <w:rFonts w:ascii="Arial" w:hAnsi="Arial" w:cs="Arial"/>
          <w:sz w:val="22"/>
          <w:szCs w:val="22"/>
        </w:rPr>
        <w:tab/>
        <w:t>Liquidateur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10 000</w:t>
      </w:r>
    </w:p>
    <w:p w:rsidR="00AA2C82" w:rsidRDefault="00DF751D">
      <w:pPr>
        <w:jc w:val="both"/>
        <w:rPr>
          <w:rFonts w:ascii="Arial" w:hAnsi="Arial" w:cs="Arial"/>
          <w:sz w:val="22"/>
          <w:szCs w:val="22"/>
        </w:rPr>
      </w:pPr>
      <w:r>
        <w:rPr>
          <w:rFonts w:ascii="Arial" w:hAnsi="Arial" w:cs="Arial"/>
          <w:sz w:val="22"/>
          <w:szCs w:val="22"/>
        </w:rPr>
        <w:tab/>
        <w:t>512</w:t>
      </w:r>
      <w:r>
        <w:rPr>
          <w:rFonts w:ascii="Arial" w:hAnsi="Arial" w:cs="Arial"/>
          <w:sz w:val="22"/>
          <w:szCs w:val="22"/>
        </w:rPr>
        <w:tab/>
        <w:t>Banque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10 000</w:t>
      </w:r>
    </w:p>
    <w:p w:rsidR="00AA2C82" w:rsidRDefault="00AA2C82">
      <w:pPr>
        <w:jc w:val="both"/>
        <w:rPr>
          <w:rFonts w:ascii="Arial" w:hAnsi="Arial" w:cs="Arial"/>
          <w:sz w:val="22"/>
          <w:szCs w:val="22"/>
        </w:rPr>
      </w:pPr>
    </w:p>
    <w:p w:rsidR="00AA2C82" w:rsidRDefault="00DF751D">
      <w:pPr>
        <w:jc w:val="both"/>
        <w:rPr>
          <w:rFonts w:ascii="Arial" w:hAnsi="Arial" w:cs="Arial"/>
          <w:sz w:val="22"/>
          <w:szCs w:val="22"/>
        </w:rPr>
      </w:pPr>
      <w:r>
        <w:rPr>
          <w:rFonts w:ascii="Arial" w:hAnsi="Arial" w:cs="Arial"/>
          <w:sz w:val="22"/>
          <w:szCs w:val="22"/>
        </w:rPr>
        <w:t>401</w:t>
      </w:r>
      <w:r>
        <w:rPr>
          <w:rFonts w:ascii="Arial" w:hAnsi="Arial" w:cs="Arial"/>
          <w:sz w:val="22"/>
          <w:szCs w:val="22"/>
        </w:rPr>
        <w:tab/>
        <w:t>Fournisseur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28 500</w:t>
      </w:r>
    </w:p>
    <w:p w:rsidR="00AA2C82" w:rsidRDefault="00DF751D">
      <w:pPr>
        <w:jc w:val="both"/>
        <w:rPr>
          <w:rFonts w:ascii="Arial" w:hAnsi="Arial" w:cs="Arial"/>
          <w:sz w:val="22"/>
          <w:szCs w:val="22"/>
        </w:rPr>
      </w:pPr>
      <w:r>
        <w:rPr>
          <w:rFonts w:ascii="Arial" w:hAnsi="Arial" w:cs="Arial"/>
          <w:sz w:val="22"/>
          <w:szCs w:val="22"/>
        </w:rPr>
        <w:tab/>
        <w:t>467</w:t>
      </w:r>
      <w:r>
        <w:rPr>
          <w:rFonts w:ascii="Arial" w:hAnsi="Arial" w:cs="Arial"/>
          <w:sz w:val="22"/>
          <w:szCs w:val="22"/>
        </w:rPr>
        <w:tab/>
        <w:t>Liquidateur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28 500</w:t>
      </w:r>
    </w:p>
    <w:p w:rsidR="00AA2C82" w:rsidRDefault="00AA2C82">
      <w:pPr>
        <w:jc w:val="both"/>
        <w:rPr>
          <w:rFonts w:ascii="Arial" w:hAnsi="Arial" w:cs="Arial"/>
          <w:sz w:val="22"/>
          <w:szCs w:val="22"/>
        </w:rPr>
      </w:pPr>
    </w:p>
    <w:p w:rsidR="00AA2C82" w:rsidRDefault="00DF751D">
      <w:pPr>
        <w:jc w:val="both"/>
        <w:rPr>
          <w:rFonts w:ascii="Arial" w:hAnsi="Arial" w:cs="Arial"/>
          <w:sz w:val="22"/>
          <w:szCs w:val="22"/>
        </w:rPr>
      </w:pPr>
      <w:r>
        <w:rPr>
          <w:rFonts w:ascii="Arial" w:hAnsi="Arial" w:cs="Arial"/>
          <w:sz w:val="22"/>
          <w:szCs w:val="22"/>
        </w:rPr>
        <w:t>1288</w:t>
      </w:r>
      <w:r>
        <w:rPr>
          <w:rFonts w:ascii="Arial" w:hAnsi="Arial" w:cs="Arial"/>
          <w:sz w:val="22"/>
          <w:szCs w:val="22"/>
        </w:rPr>
        <w:tab/>
        <w:t>Résultat de liquidation</w:t>
      </w:r>
      <w:r>
        <w:rPr>
          <w:rFonts w:ascii="Arial" w:hAnsi="Arial" w:cs="Arial"/>
          <w:sz w:val="22"/>
          <w:szCs w:val="22"/>
        </w:rPr>
        <w:tab/>
      </w:r>
      <w:r>
        <w:rPr>
          <w:rFonts w:ascii="Arial" w:hAnsi="Arial" w:cs="Arial"/>
          <w:sz w:val="22"/>
          <w:szCs w:val="22"/>
        </w:rPr>
        <w:tab/>
        <w:t xml:space="preserve"> 1 500</w:t>
      </w:r>
    </w:p>
    <w:p w:rsidR="00AA2C82" w:rsidRDefault="00DF751D">
      <w:pPr>
        <w:jc w:val="both"/>
        <w:rPr>
          <w:rFonts w:ascii="Arial" w:hAnsi="Arial" w:cs="Arial"/>
          <w:sz w:val="22"/>
          <w:szCs w:val="22"/>
        </w:rPr>
      </w:pPr>
      <w:r>
        <w:rPr>
          <w:rFonts w:ascii="Arial" w:hAnsi="Arial" w:cs="Arial"/>
          <w:sz w:val="22"/>
          <w:szCs w:val="22"/>
        </w:rPr>
        <w:tab/>
        <w:t>467</w:t>
      </w:r>
      <w:r>
        <w:rPr>
          <w:rFonts w:ascii="Arial" w:hAnsi="Arial" w:cs="Arial"/>
          <w:sz w:val="22"/>
          <w:szCs w:val="22"/>
        </w:rPr>
        <w:tab/>
        <w:t>Liquidateur (frais)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1 500 </w:t>
      </w:r>
    </w:p>
    <w:p w:rsidR="00AA2C82" w:rsidRDefault="00AA2C82">
      <w:pPr>
        <w:jc w:val="both"/>
        <w:rPr>
          <w:rFonts w:ascii="Arial" w:hAnsi="Arial" w:cs="Arial"/>
          <w:sz w:val="22"/>
          <w:szCs w:val="22"/>
        </w:rPr>
      </w:pPr>
    </w:p>
    <w:p w:rsidR="00AA2C82" w:rsidRDefault="00DF751D">
      <w:pPr>
        <w:spacing w:line="360" w:lineRule="auto"/>
        <w:jc w:val="both"/>
        <w:rPr>
          <w:rFonts w:ascii="Arial" w:hAnsi="Arial" w:cs="Arial"/>
          <w:sz w:val="22"/>
          <w:szCs w:val="22"/>
        </w:rPr>
      </w:pPr>
      <w:r>
        <w:rPr>
          <w:rFonts w:ascii="Arial" w:hAnsi="Arial" w:cs="Arial"/>
          <w:b/>
          <w:sz w:val="22"/>
          <w:szCs w:val="22"/>
        </w:rPr>
        <w:t>Solde compte 467</w:t>
      </w:r>
      <w:r>
        <w:rPr>
          <w:rFonts w:ascii="Arial" w:hAnsi="Arial" w:cs="Arial"/>
          <w:sz w:val="22"/>
          <w:szCs w:val="22"/>
        </w:rPr>
        <w:t> : Créditeur de 63 000 (40000+34000+9000+10000-28500-1500)</w:t>
      </w:r>
    </w:p>
    <w:p w:rsidR="00AA2C82" w:rsidRDefault="00DF751D">
      <w:pPr>
        <w:spacing w:line="360" w:lineRule="auto"/>
        <w:jc w:val="both"/>
        <w:rPr>
          <w:rFonts w:ascii="Arial" w:hAnsi="Arial" w:cs="Arial"/>
          <w:sz w:val="22"/>
          <w:szCs w:val="22"/>
        </w:rPr>
      </w:pPr>
      <w:r>
        <w:rPr>
          <w:rFonts w:ascii="Arial" w:hAnsi="Arial" w:cs="Arial"/>
          <w:b/>
          <w:sz w:val="22"/>
          <w:szCs w:val="22"/>
        </w:rPr>
        <w:t>Solde compte 1288</w:t>
      </w:r>
      <w:r>
        <w:rPr>
          <w:rFonts w:ascii="Arial" w:hAnsi="Arial" w:cs="Arial"/>
          <w:sz w:val="22"/>
          <w:szCs w:val="22"/>
        </w:rPr>
        <w:t> : Créditeur de 7 000 (20500+6000+5000+1500-40000)</w:t>
      </w:r>
    </w:p>
    <w:p w:rsidR="00AA2C82" w:rsidRDefault="00AA2C82">
      <w:pPr>
        <w:pStyle w:val="Corps"/>
        <w:spacing w:line="360" w:lineRule="auto"/>
      </w:pPr>
    </w:p>
    <w:p w:rsidR="00AA2C82" w:rsidRDefault="00DF751D">
      <w:pPr>
        <w:spacing w:line="360" w:lineRule="auto"/>
        <w:jc w:val="both"/>
        <w:rPr>
          <w:rFonts w:ascii="Arial" w:hAnsi="Arial" w:cs="Arial"/>
          <w:sz w:val="22"/>
          <w:szCs w:val="22"/>
        </w:rPr>
      </w:pPr>
      <w:r>
        <w:rPr>
          <w:rFonts w:ascii="Arial" w:hAnsi="Arial" w:cs="Arial"/>
          <w:b/>
          <w:sz w:val="22"/>
          <w:szCs w:val="22"/>
        </w:rPr>
        <w:t>=&gt; On affecte le solde aux associés par rapport à leur part de capital</w:t>
      </w:r>
    </w:p>
    <w:p w:rsidR="00AA2C82" w:rsidRDefault="00AA2C82">
      <w:pPr>
        <w:spacing w:line="360" w:lineRule="auto"/>
        <w:jc w:val="both"/>
        <w:rPr>
          <w:rFonts w:ascii="Arial" w:hAnsi="Arial" w:cs="Arial"/>
          <w:sz w:val="22"/>
          <w:szCs w:val="22"/>
        </w:rPr>
      </w:pPr>
    </w:p>
    <w:p w:rsidR="00AA2C82" w:rsidRDefault="00DF751D">
      <w:pPr>
        <w:jc w:val="both"/>
        <w:rPr>
          <w:rFonts w:ascii="Arial" w:hAnsi="Arial" w:cs="Arial"/>
          <w:sz w:val="22"/>
          <w:szCs w:val="22"/>
        </w:rPr>
      </w:pPr>
      <w:r>
        <w:rPr>
          <w:rFonts w:ascii="Arial" w:hAnsi="Arial" w:cs="Arial"/>
          <w:sz w:val="22"/>
          <w:szCs w:val="22"/>
        </w:rPr>
        <w:t>101</w:t>
      </w:r>
      <w:r>
        <w:rPr>
          <w:rFonts w:ascii="Arial" w:hAnsi="Arial" w:cs="Arial"/>
          <w:sz w:val="22"/>
          <w:szCs w:val="22"/>
        </w:rPr>
        <w:tab/>
        <w:t>Capital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60 000</w:t>
      </w:r>
    </w:p>
    <w:p w:rsidR="00AA2C82" w:rsidRDefault="00DF751D">
      <w:pPr>
        <w:jc w:val="both"/>
        <w:rPr>
          <w:rFonts w:ascii="Arial" w:hAnsi="Arial" w:cs="Arial"/>
          <w:sz w:val="22"/>
          <w:szCs w:val="22"/>
        </w:rPr>
      </w:pPr>
      <w:r>
        <w:rPr>
          <w:rFonts w:ascii="Arial" w:hAnsi="Arial" w:cs="Arial"/>
          <w:sz w:val="22"/>
          <w:szCs w:val="22"/>
        </w:rPr>
        <w:t>106</w:t>
      </w:r>
      <w:r>
        <w:rPr>
          <w:rFonts w:ascii="Arial" w:hAnsi="Arial" w:cs="Arial"/>
          <w:sz w:val="22"/>
          <w:szCs w:val="22"/>
        </w:rPr>
        <w:tab/>
        <w:t>Réserves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10 000</w:t>
      </w:r>
    </w:p>
    <w:p w:rsidR="00AA2C82" w:rsidRDefault="00DF751D">
      <w:pPr>
        <w:jc w:val="both"/>
        <w:rPr>
          <w:rFonts w:ascii="Arial" w:hAnsi="Arial" w:cs="Arial"/>
          <w:sz w:val="22"/>
          <w:szCs w:val="22"/>
        </w:rPr>
      </w:pPr>
      <w:r>
        <w:rPr>
          <w:rFonts w:ascii="Arial" w:hAnsi="Arial" w:cs="Arial"/>
          <w:sz w:val="22"/>
          <w:szCs w:val="22"/>
        </w:rPr>
        <w:t>1288    Résultat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7 000</w:t>
      </w:r>
    </w:p>
    <w:p w:rsidR="00AA2C82" w:rsidRDefault="00DF751D">
      <w:pPr>
        <w:jc w:val="both"/>
        <w:rPr>
          <w:rFonts w:ascii="Arial" w:hAnsi="Arial" w:cs="Arial"/>
          <w:sz w:val="22"/>
          <w:szCs w:val="22"/>
        </w:rPr>
      </w:pPr>
      <w:r>
        <w:rPr>
          <w:rFonts w:ascii="Arial" w:hAnsi="Arial" w:cs="Arial"/>
          <w:sz w:val="22"/>
          <w:szCs w:val="22"/>
        </w:rPr>
        <w:tab/>
        <w:t>119</w:t>
      </w:r>
      <w:r>
        <w:rPr>
          <w:rFonts w:ascii="Arial" w:hAnsi="Arial" w:cs="Arial"/>
          <w:sz w:val="22"/>
          <w:szCs w:val="22"/>
        </w:rPr>
        <w:tab/>
        <w:t>RAN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20 000</w:t>
      </w:r>
    </w:p>
    <w:p w:rsidR="00AA2C82" w:rsidRDefault="00AA2C82">
      <w:pPr>
        <w:jc w:val="both"/>
        <w:rPr>
          <w:rFonts w:ascii="Arial" w:hAnsi="Arial" w:cs="Arial"/>
          <w:sz w:val="22"/>
          <w:szCs w:val="22"/>
        </w:rPr>
      </w:pPr>
    </w:p>
    <w:p w:rsidR="00AA2C82" w:rsidRDefault="00DF751D">
      <w:pPr>
        <w:jc w:val="both"/>
        <w:rPr>
          <w:rFonts w:ascii="Arial" w:hAnsi="Arial" w:cs="Arial"/>
          <w:sz w:val="22"/>
          <w:szCs w:val="22"/>
        </w:rPr>
      </w:pPr>
      <w:r>
        <w:rPr>
          <w:rFonts w:ascii="Arial" w:hAnsi="Arial" w:cs="Arial"/>
          <w:sz w:val="22"/>
          <w:szCs w:val="22"/>
        </w:rPr>
        <w:t>455A</w:t>
      </w:r>
      <w:r>
        <w:rPr>
          <w:rFonts w:ascii="Arial" w:hAnsi="Arial" w:cs="Arial"/>
          <w:sz w:val="22"/>
          <w:szCs w:val="22"/>
        </w:rPr>
        <w:tab/>
        <w:t>Associé 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42 750</w:t>
      </w:r>
    </w:p>
    <w:p w:rsidR="00AA2C82" w:rsidRDefault="00DF751D">
      <w:pPr>
        <w:jc w:val="both"/>
        <w:rPr>
          <w:rFonts w:ascii="Arial" w:hAnsi="Arial" w:cs="Arial"/>
          <w:sz w:val="22"/>
          <w:szCs w:val="22"/>
        </w:rPr>
      </w:pPr>
      <w:r>
        <w:rPr>
          <w:rFonts w:ascii="Arial" w:hAnsi="Arial" w:cs="Arial"/>
          <w:sz w:val="22"/>
          <w:szCs w:val="22"/>
        </w:rPr>
        <w:t>455B</w:t>
      </w:r>
      <w:r>
        <w:rPr>
          <w:rFonts w:ascii="Arial" w:hAnsi="Arial" w:cs="Arial"/>
          <w:sz w:val="22"/>
          <w:szCs w:val="22"/>
        </w:rPr>
        <w:tab/>
        <w:t>Associé B</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14 250</w:t>
      </w:r>
    </w:p>
    <w:p w:rsidR="00AA2C82" w:rsidRDefault="00DF751D">
      <w:pPr>
        <w:jc w:val="both"/>
        <w:rPr>
          <w:rFonts w:ascii="Arial" w:hAnsi="Arial" w:cs="Arial"/>
          <w:sz w:val="22"/>
          <w:szCs w:val="22"/>
        </w:rPr>
      </w:pPr>
      <w:r>
        <w:rPr>
          <w:rFonts w:ascii="Arial" w:hAnsi="Arial" w:cs="Arial"/>
          <w:sz w:val="22"/>
          <w:szCs w:val="22"/>
        </w:rPr>
        <w:t>455A</w:t>
      </w:r>
      <w:r>
        <w:rPr>
          <w:rFonts w:ascii="Arial" w:hAnsi="Arial" w:cs="Arial"/>
          <w:sz w:val="22"/>
          <w:szCs w:val="22"/>
        </w:rPr>
        <w:tab/>
        <w:t>Associé A (42 750+5 000)</w:t>
      </w:r>
      <w:r>
        <w:rPr>
          <w:rFonts w:ascii="Arial" w:hAnsi="Arial" w:cs="Arial"/>
          <w:sz w:val="22"/>
          <w:szCs w:val="22"/>
        </w:rPr>
        <w:tab/>
      </w:r>
      <w:r>
        <w:rPr>
          <w:rFonts w:ascii="Arial" w:hAnsi="Arial" w:cs="Arial"/>
          <w:sz w:val="22"/>
          <w:szCs w:val="22"/>
        </w:rPr>
        <w:tab/>
        <w:t>47 750</w:t>
      </w:r>
    </w:p>
    <w:p w:rsidR="00AA2C82" w:rsidRDefault="00DF751D">
      <w:pPr>
        <w:pStyle w:val="Corps"/>
      </w:pPr>
      <w:r>
        <w:t>455B</w:t>
      </w:r>
      <w:r>
        <w:tab/>
        <w:t>Associé B (14 250+1 000)</w:t>
      </w:r>
      <w:r>
        <w:tab/>
      </w:r>
      <w:r>
        <w:tab/>
        <w:t>15 200</w:t>
      </w:r>
    </w:p>
    <w:p w:rsidR="00AA2C82" w:rsidRDefault="00DF751D">
      <w:pPr>
        <w:jc w:val="both"/>
        <w:rPr>
          <w:rFonts w:ascii="Arial" w:hAnsi="Arial" w:cs="Arial"/>
          <w:sz w:val="22"/>
          <w:szCs w:val="22"/>
        </w:rPr>
      </w:pPr>
      <w:r>
        <w:rPr>
          <w:rFonts w:ascii="Arial" w:hAnsi="Arial" w:cs="Arial"/>
          <w:sz w:val="22"/>
          <w:szCs w:val="22"/>
        </w:rPr>
        <w:tab/>
        <w:t>467</w:t>
      </w:r>
      <w:r>
        <w:rPr>
          <w:rFonts w:ascii="Arial" w:hAnsi="Arial" w:cs="Arial"/>
          <w:sz w:val="22"/>
          <w:szCs w:val="22"/>
        </w:rPr>
        <w:tab/>
        <w:t>Liquidateur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63 000</w:t>
      </w:r>
    </w:p>
    <w:p w:rsidR="00AA2C82" w:rsidRDefault="00AA2C82">
      <w:pPr>
        <w:pStyle w:val="Corps"/>
        <w:tabs>
          <w:tab w:val="left" w:pos="360"/>
          <w:tab w:val="left" w:pos="3600"/>
        </w:tabs>
        <w:spacing w:line="360" w:lineRule="auto"/>
      </w:pPr>
    </w:p>
    <w:p w:rsidR="00AA2C82" w:rsidRDefault="00DF751D">
      <w:pPr>
        <w:pStyle w:val="BodyText"/>
        <w:jc w:val="center"/>
        <w:rPr>
          <w:color w:val="FF00FF"/>
          <w:sz w:val="36"/>
        </w:rPr>
      </w:pPr>
      <w:r>
        <w:br w:type="page"/>
      </w:r>
      <w:r>
        <w:rPr>
          <w:color w:val="FF00FF"/>
          <w:sz w:val="36"/>
        </w:rPr>
        <w:lastRenderedPageBreak/>
        <w:t>Partie 4 : Le régime des immobilisations corporelles et incorporelles</w:t>
      </w:r>
    </w:p>
    <w:p w:rsidR="00AA2C82" w:rsidRDefault="00AA2C82">
      <w:pPr>
        <w:spacing w:line="360" w:lineRule="auto"/>
        <w:jc w:val="both"/>
        <w:rPr>
          <w:rFonts w:ascii="Arial" w:hAnsi="Arial" w:cs="Arial"/>
          <w:sz w:val="22"/>
        </w:rPr>
      </w:pPr>
    </w:p>
    <w:p w:rsidR="00AA2C82" w:rsidRDefault="00DF751D">
      <w:pPr>
        <w:pStyle w:val="Heading1"/>
        <w:rPr>
          <w:b w:val="0"/>
          <w:bCs w:val="0"/>
          <w:color w:val="FF00FF"/>
        </w:rPr>
      </w:pPr>
      <w:r>
        <w:rPr>
          <w:b w:val="0"/>
          <w:bCs w:val="0"/>
          <w:color w:val="FF00FF"/>
        </w:rPr>
        <w:t>Chapitre 1 : Les principes généraux</w:t>
      </w:r>
    </w:p>
    <w:p w:rsidR="00AA2C82" w:rsidRDefault="00DF751D">
      <w:pPr>
        <w:spacing w:line="360" w:lineRule="auto"/>
        <w:jc w:val="both"/>
        <w:rPr>
          <w:rFonts w:ascii="Arial" w:hAnsi="Arial" w:cs="Arial"/>
          <w:color w:val="FF00FF"/>
          <w:sz w:val="28"/>
        </w:rPr>
      </w:pPr>
      <w:r>
        <w:rPr>
          <w:rFonts w:ascii="Arial" w:hAnsi="Arial" w:cs="Arial"/>
          <w:sz w:val="22"/>
        </w:rPr>
        <w:tab/>
      </w:r>
      <w:r>
        <w:rPr>
          <w:rFonts w:ascii="Arial" w:hAnsi="Arial" w:cs="Arial"/>
          <w:color w:val="FF00FF"/>
          <w:sz w:val="28"/>
        </w:rPr>
        <w:t>Section 1 : Définition</w:t>
      </w:r>
    </w:p>
    <w:p w:rsidR="00AA2C82" w:rsidRDefault="00DF751D">
      <w:pPr>
        <w:spacing w:line="360" w:lineRule="auto"/>
        <w:jc w:val="both"/>
        <w:rPr>
          <w:rFonts w:ascii="Arial" w:hAnsi="Arial" w:cs="Arial"/>
          <w:sz w:val="22"/>
        </w:rPr>
      </w:pPr>
      <w:r>
        <w:rPr>
          <w:rFonts w:ascii="Arial" w:hAnsi="Arial" w:cs="Arial"/>
          <w:sz w:val="22"/>
        </w:rPr>
        <w:t xml:space="preserve">Une </w:t>
      </w:r>
      <w:r>
        <w:rPr>
          <w:rFonts w:ascii="Arial" w:hAnsi="Arial" w:cs="Arial"/>
          <w:b/>
          <w:bCs/>
          <w:sz w:val="22"/>
        </w:rPr>
        <w:t xml:space="preserve">immobilisation </w:t>
      </w:r>
      <w:r>
        <w:rPr>
          <w:rFonts w:ascii="Arial" w:hAnsi="Arial" w:cs="Arial"/>
          <w:sz w:val="22"/>
        </w:rPr>
        <w:t xml:space="preserve">est un bien qui </w:t>
      </w:r>
      <w:r>
        <w:rPr>
          <w:rFonts w:ascii="Arial" w:hAnsi="Arial" w:cs="Arial"/>
          <w:b/>
          <w:bCs/>
          <w:sz w:val="22"/>
        </w:rPr>
        <w:t xml:space="preserve">doit appartenir à l’entreprise juridiquement </w:t>
      </w:r>
      <w:r>
        <w:rPr>
          <w:rFonts w:ascii="Arial" w:hAnsi="Arial" w:cs="Arial"/>
          <w:sz w:val="22"/>
        </w:rPr>
        <w:t xml:space="preserve">et </w:t>
      </w:r>
      <w:r>
        <w:rPr>
          <w:rFonts w:ascii="Arial" w:hAnsi="Arial" w:cs="Arial"/>
          <w:b/>
          <w:bCs/>
          <w:sz w:val="22"/>
        </w:rPr>
        <w:t>servir de façon durable</w:t>
      </w:r>
      <w:r>
        <w:rPr>
          <w:rFonts w:ascii="Arial" w:hAnsi="Arial" w:cs="Arial"/>
          <w:sz w:val="22"/>
        </w:rPr>
        <w:t xml:space="preserve">. La distinction avec les stocks est la </w:t>
      </w:r>
      <w:r>
        <w:rPr>
          <w:rFonts w:ascii="Arial" w:hAnsi="Arial" w:cs="Arial"/>
          <w:b/>
          <w:bCs/>
          <w:sz w:val="22"/>
        </w:rPr>
        <w:t>notion de durabilité</w:t>
      </w:r>
      <w:r>
        <w:rPr>
          <w:rFonts w:ascii="Arial" w:hAnsi="Arial" w:cs="Arial"/>
          <w:sz w:val="22"/>
        </w:rPr>
        <w:t>, c’est-à-dire la durée d’utilisation (si &gt; 1an, c’est une immobilisation).</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sz w:val="22"/>
        </w:rPr>
      </w:pPr>
      <w:r>
        <w:rPr>
          <w:rFonts w:ascii="Arial" w:hAnsi="Arial" w:cs="Arial"/>
          <w:b/>
          <w:bCs/>
          <w:sz w:val="22"/>
        </w:rPr>
        <w:t>Charge</w:t>
      </w:r>
      <w:r>
        <w:rPr>
          <w:rFonts w:ascii="Arial" w:hAnsi="Arial" w:cs="Arial"/>
          <w:sz w:val="22"/>
        </w:rPr>
        <w:t xml:space="preserve"> = dépense faite dans un but de maintien du bien en bon état d’utilisation.</w:t>
      </w:r>
    </w:p>
    <w:p w:rsidR="00AA2C82" w:rsidRDefault="00DF751D">
      <w:pPr>
        <w:spacing w:line="360" w:lineRule="auto"/>
        <w:jc w:val="both"/>
        <w:rPr>
          <w:rFonts w:ascii="Arial" w:hAnsi="Arial" w:cs="Arial"/>
          <w:sz w:val="22"/>
        </w:rPr>
      </w:pPr>
      <w:r>
        <w:rPr>
          <w:rFonts w:ascii="Arial" w:hAnsi="Arial" w:cs="Arial"/>
          <w:b/>
          <w:bCs/>
          <w:sz w:val="22"/>
        </w:rPr>
        <w:t xml:space="preserve">Immobilisation </w:t>
      </w:r>
      <w:r>
        <w:rPr>
          <w:rFonts w:ascii="Arial" w:hAnsi="Arial" w:cs="Arial"/>
          <w:sz w:val="22"/>
        </w:rPr>
        <w:t>= dépense permettant soit une augmentation de la valeur du bien, soit de sa durée probable d’utilisation.</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sz w:val="22"/>
        </w:rPr>
      </w:pPr>
      <w:r>
        <w:rPr>
          <w:rFonts w:ascii="Arial" w:hAnsi="Arial" w:cs="Arial"/>
          <w:sz w:val="22"/>
          <w:u w:val="single"/>
        </w:rPr>
        <w:t>Particularité</w:t>
      </w:r>
      <w:r>
        <w:rPr>
          <w:rFonts w:ascii="Arial" w:hAnsi="Arial" w:cs="Arial"/>
          <w:sz w:val="22"/>
        </w:rPr>
        <w:t xml:space="preserve"> : l’administration tolère que les biens d’une valeur </w:t>
      </w:r>
      <w:r>
        <w:rPr>
          <w:rFonts w:ascii="Arial" w:hAnsi="Arial" w:cs="Arial"/>
          <w:sz w:val="22"/>
        </w:rPr>
        <w:sym w:font="Symbol" w:char="F0A3"/>
      </w:r>
      <w:r>
        <w:rPr>
          <w:rFonts w:ascii="Arial" w:hAnsi="Arial" w:cs="Arial"/>
          <w:sz w:val="22"/>
        </w:rPr>
        <w:t xml:space="preserve"> 500 € HT </w:t>
      </w:r>
      <w:proofErr w:type="gramStart"/>
      <w:r>
        <w:rPr>
          <w:rFonts w:ascii="Arial" w:hAnsi="Arial" w:cs="Arial"/>
          <w:sz w:val="22"/>
        </w:rPr>
        <w:t>sont</w:t>
      </w:r>
      <w:proofErr w:type="gramEnd"/>
      <w:r>
        <w:rPr>
          <w:rFonts w:ascii="Arial" w:hAnsi="Arial" w:cs="Arial"/>
          <w:sz w:val="22"/>
        </w:rPr>
        <w:t xml:space="preserve"> inscrits en charges plutôt qu’en immobilisation.</w:t>
      </w:r>
    </w:p>
    <w:p w:rsidR="00AA2C82" w:rsidRDefault="00AA2C82">
      <w:pPr>
        <w:spacing w:line="360" w:lineRule="auto"/>
        <w:jc w:val="both"/>
        <w:rPr>
          <w:rFonts w:ascii="Arial" w:hAnsi="Arial" w:cs="Arial"/>
          <w:sz w:val="22"/>
        </w:rPr>
      </w:pPr>
    </w:p>
    <w:p w:rsidR="00AA2C82" w:rsidRDefault="00DF751D">
      <w:pPr>
        <w:pStyle w:val="BodyTextIndent"/>
      </w:pPr>
      <w:r>
        <w:t>Section 2 : L’évaluation des immobilisations à l’entrée dans le patrimoine</w:t>
      </w:r>
    </w:p>
    <w:p w:rsidR="00AA2C82" w:rsidRDefault="00DF751D">
      <w:pPr>
        <w:spacing w:line="360" w:lineRule="auto"/>
        <w:jc w:val="both"/>
        <w:rPr>
          <w:rFonts w:ascii="Arial" w:hAnsi="Arial" w:cs="Arial"/>
          <w:sz w:val="22"/>
        </w:rPr>
      </w:pPr>
      <w:r>
        <w:rPr>
          <w:rFonts w:ascii="Arial" w:hAnsi="Arial" w:cs="Arial"/>
          <w:sz w:val="22"/>
        </w:rPr>
        <w:t xml:space="preserve">L’entrée d’une immobilisation dans le patrimoine doit se faire au </w:t>
      </w:r>
      <w:r>
        <w:rPr>
          <w:rFonts w:ascii="Arial" w:hAnsi="Arial" w:cs="Arial"/>
          <w:b/>
          <w:bCs/>
          <w:sz w:val="22"/>
        </w:rPr>
        <w:t>coût historique</w:t>
      </w:r>
      <w:r>
        <w:rPr>
          <w:rFonts w:ascii="Arial" w:hAnsi="Arial" w:cs="Arial"/>
          <w:sz w:val="22"/>
        </w:rPr>
        <w:t>.</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color w:val="FF00FF"/>
        </w:rPr>
      </w:pPr>
      <w:r>
        <w:rPr>
          <w:rFonts w:ascii="Arial" w:hAnsi="Arial" w:cs="Arial"/>
          <w:sz w:val="22"/>
        </w:rPr>
        <w:tab/>
      </w:r>
      <w:r>
        <w:rPr>
          <w:rFonts w:ascii="Arial" w:hAnsi="Arial" w:cs="Arial"/>
          <w:sz w:val="22"/>
        </w:rPr>
        <w:tab/>
      </w:r>
      <w:r>
        <w:rPr>
          <w:rFonts w:ascii="Arial" w:hAnsi="Arial" w:cs="Arial"/>
          <w:color w:val="FF00FF"/>
        </w:rPr>
        <w:t>I – L’acquisition des immobilisations à titre onéreux</w:t>
      </w:r>
    </w:p>
    <w:p w:rsidR="00AA2C82" w:rsidRDefault="00DF751D">
      <w:pPr>
        <w:spacing w:line="360" w:lineRule="auto"/>
        <w:jc w:val="both"/>
        <w:rPr>
          <w:rFonts w:ascii="Arial" w:hAnsi="Arial" w:cs="Arial"/>
          <w:sz w:val="22"/>
        </w:rPr>
      </w:pPr>
      <w:r>
        <w:rPr>
          <w:rFonts w:ascii="Arial" w:hAnsi="Arial" w:cs="Arial"/>
          <w:b/>
          <w:bCs/>
          <w:sz w:val="22"/>
        </w:rPr>
        <w:t>Coût d’acquisition</w:t>
      </w:r>
      <w:r>
        <w:rPr>
          <w:rFonts w:ascii="Arial" w:hAnsi="Arial" w:cs="Arial"/>
          <w:sz w:val="22"/>
        </w:rPr>
        <w:t xml:space="preserve"> = prix d’achat (prix de la facture net de toutes remises commerciales) + frais accessoires (frais nécessaires pour rendre le bien conforme à sa destination).</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sz w:val="22"/>
        </w:rPr>
      </w:pPr>
      <w:r>
        <w:rPr>
          <w:rFonts w:ascii="Arial" w:hAnsi="Arial" w:cs="Arial"/>
          <w:sz w:val="22"/>
        </w:rPr>
        <w:t xml:space="preserve">Les </w:t>
      </w:r>
      <w:r>
        <w:rPr>
          <w:rFonts w:ascii="Arial" w:hAnsi="Arial" w:cs="Arial"/>
          <w:b/>
          <w:bCs/>
          <w:sz w:val="22"/>
        </w:rPr>
        <w:t>frais accessoires non compris dans le coût d’acquisition</w:t>
      </w:r>
      <w:r>
        <w:rPr>
          <w:rFonts w:ascii="Arial" w:hAnsi="Arial" w:cs="Arial"/>
          <w:sz w:val="22"/>
        </w:rPr>
        <w:t xml:space="preserve"> sont comptabilisés en charges à répartir pour ne pas pénaliser le résultat de l’année d’achat de l’immobilisation.</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color w:val="FF00FF"/>
        </w:rPr>
      </w:pPr>
      <w:r>
        <w:rPr>
          <w:rFonts w:ascii="Arial" w:hAnsi="Arial" w:cs="Arial"/>
          <w:sz w:val="22"/>
        </w:rPr>
        <w:tab/>
      </w:r>
      <w:r>
        <w:rPr>
          <w:rFonts w:ascii="Arial" w:hAnsi="Arial" w:cs="Arial"/>
          <w:sz w:val="22"/>
        </w:rPr>
        <w:tab/>
      </w:r>
      <w:r>
        <w:rPr>
          <w:rFonts w:ascii="Arial" w:hAnsi="Arial" w:cs="Arial"/>
          <w:color w:val="FF00FF"/>
        </w:rPr>
        <w:t>II – La production d’immobilisation par l’entreprise pour elle-même</w:t>
      </w:r>
    </w:p>
    <w:p w:rsidR="00AA2C82" w:rsidRDefault="00DF751D">
      <w:pPr>
        <w:spacing w:line="360" w:lineRule="auto"/>
        <w:jc w:val="both"/>
        <w:rPr>
          <w:rFonts w:ascii="Arial" w:hAnsi="Arial" w:cs="Arial"/>
          <w:sz w:val="22"/>
        </w:rPr>
      </w:pPr>
      <w:r>
        <w:rPr>
          <w:rFonts w:ascii="Arial" w:hAnsi="Arial" w:cs="Arial"/>
          <w:sz w:val="22"/>
        </w:rPr>
        <w:t xml:space="preserve">On retient le </w:t>
      </w:r>
      <w:r>
        <w:rPr>
          <w:rFonts w:ascii="Arial" w:hAnsi="Arial" w:cs="Arial"/>
          <w:b/>
          <w:bCs/>
          <w:sz w:val="22"/>
        </w:rPr>
        <w:t>coût de production du bien</w:t>
      </w:r>
      <w:r>
        <w:rPr>
          <w:rFonts w:ascii="Arial" w:hAnsi="Arial" w:cs="Arial"/>
          <w:sz w:val="22"/>
        </w:rPr>
        <w:t xml:space="preserve"> = coût des matières consommées + charges directes de production + 1 fraction des charges indirectes de production.</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sz w:val="22"/>
        </w:rPr>
      </w:pPr>
      <w:r>
        <w:rPr>
          <w:rFonts w:ascii="Arial" w:hAnsi="Arial" w:cs="Arial"/>
          <w:sz w:val="22"/>
        </w:rPr>
        <w:t>Comptablement, on peut inclure les frais financiers dans le coût de production s’ils correspondent à la période de fabrication. Cependant, l’administration fiscale exclue cette possibilité.</w:t>
      </w:r>
    </w:p>
    <w:p w:rsidR="00AA2C82" w:rsidRDefault="00DF751D">
      <w:pPr>
        <w:pStyle w:val="BodyTextIndent"/>
        <w:rPr>
          <w:sz w:val="24"/>
        </w:rPr>
      </w:pPr>
      <w:r>
        <w:t>Section 3 : L’évaluation des immobilisations à la sortie de l’entreprise</w:t>
      </w:r>
    </w:p>
    <w:p w:rsidR="00AA2C82" w:rsidRDefault="00DF751D">
      <w:pPr>
        <w:spacing w:line="360" w:lineRule="auto"/>
        <w:jc w:val="both"/>
        <w:rPr>
          <w:rFonts w:ascii="Arial" w:hAnsi="Arial" w:cs="Arial"/>
          <w:color w:val="FF00FF"/>
        </w:rPr>
      </w:pPr>
      <w:r>
        <w:rPr>
          <w:rFonts w:ascii="Arial" w:hAnsi="Arial" w:cs="Arial"/>
        </w:rPr>
        <w:tab/>
      </w:r>
      <w:r>
        <w:rPr>
          <w:rFonts w:ascii="Arial" w:hAnsi="Arial" w:cs="Arial"/>
        </w:rPr>
        <w:tab/>
      </w:r>
      <w:r>
        <w:rPr>
          <w:rFonts w:ascii="Arial" w:hAnsi="Arial" w:cs="Arial"/>
          <w:color w:val="FF00FF"/>
        </w:rPr>
        <w:t>I – La sortie des immobilisations de l’actif et les amortissements</w:t>
      </w:r>
    </w:p>
    <w:p w:rsidR="00AA2C82" w:rsidRDefault="00DF751D">
      <w:pPr>
        <w:spacing w:line="360" w:lineRule="auto"/>
        <w:rPr>
          <w:rFonts w:ascii="Arial" w:hAnsi="Arial" w:cs="Arial"/>
          <w:sz w:val="22"/>
        </w:rPr>
      </w:pPr>
      <w:r>
        <w:rPr>
          <w:rFonts w:ascii="Arial" w:hAnsi="Arial" w:cs="Arial"/>
          <w:b/>
          <w:bCs/>
          <w:sz w:val="22"/>
        </w:rPr>
        <w:t xml:space="preserve">VNC </w:t>
      </w:r>
      <w:r>
        <w:rPr>
          <w:rFonts w:ascii="Arial" w:hAnsi="Arial" w:cs="Arial"/>
          <w:sz w:val="22"/>
        </w:rPr>
        <w:t>= valeur nette de l’immobilisation – amortissement comptable de l’année (s’il a lieu)</w:t>
      </w:r>
    </w:p>
    <w:p w:rsidR="00AA2C82" w:rsidRDefault="00DF751D">
      <w:pPr>
        <w:spacing w:line="360" w:lineRule="auto"/>
        <w:rPr>
          <w:rFonts w:ascii="Arial" w:hAnsi="Arial" w:cs="Arial"/>
          <w:sz w:val="22"/>
        </w:rPr>
      </w:pPr>
      <w:r>
        <w:rPr>
          <w:rFonts w:ascii="Arial" w:hAnsi="Arial" w:cs="Arial"/>
          <w:b/>
          <w:bCs/>
          <w:sz w:val="22"/>
        </w:rPr>
        <w:t>PV</w:t>
      </w:r>
      <w:r>
        <w:rPr>
          <w:rFonts w:ascii="Arial" w:hAnsi="Arial" w:cs="Arial"/>
          <w:sz w:val="22"/>
        </w:rPr>
        <w:t xml:space="preserve"> = Prix de cession - VNC</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sz w:val="22"/>
        </w:rPr>
      </w:pPr>
      <w:r>
        <w:rPr>
          <w:rFonts w:ascii="Arial" w:hAnsi="Arial" w:cs="Arial"/>
          <w:sz w:val="22"/>
        </w:rPr>
        <w:lastRenderedPageBreak/>
        <w:t xml:space="preserve">En comptabilité, il n’y a </w:t>
      </w:r>
      <w:r>
        <w:rPr>
          <w:rFonts w:ascii="Arial" w:hAnsi="Arial" w:cs="Arial"/>
          <w:b/>
          <w:bCs/>
          <w:sz w:val="22"/>
        </w:rPr>
        <w:t>pas l’obligation d’amortir le bien l’année de la cession</w:t>
      </w:r>
      <w:r>
        <w:rPr>
          <w:rFonts w:ascii="Arial" w:hAnsi="Arial" w:cs="Arial"/>
          <w:sz w:val="22"/>
        </w:rPr>
        <w:t xml:space="preserve"> car le résultat ne change pas. L’administration fiscale ne le sanctionne pas sauf s’il s’agit de la cession d’un bien somptuaire.</w:t>
      </w:r>
    </w:p>
    <w:p w:rsidR="00AA2C82" w:rsidRDefault="00DF751D">
      <w:pPr>
        <w:spacing w:line="360" w:lineRule="auto"/>
        <w:jc w:val="both"/>
        <w:rPr>
          <w:rFonts w:ascii="Arial" w:hAnsi="Arial" w:cs="Arial"/>
          <w:sz w:val="22"/>
        </w:rPr>
      </w:pPr>
      <w:r>
        <w:rPr>
          <w:rFonts w:ascii="Arial" w:hAnsi="Arial" w:cs="Arial"/>
          <w:sz w:val="22"/>
        </w:rPr>
        <w:t xml:space="preserve">Quand on cède une immobilisation, on doit </w:t>
      </w:r>
      <w:r>
        <w:rPr>
          <w:rFonts w:ascii="Arial" w:hAnsi="Arial" w:cs="Arial"/>
          <w:b/>
          <w:bCs/>
          <w:sz w:val="22"/>
        </w:rPr>
        <w:t>reprendre la provision existante</w:t>
      </w:r>
      <w:r>
        <w:rPr>
          <w:rFonts w:ascii="Arial" w:hAnsi="Arial" w:cs="Arial"/>
          <w:sz w:val="22"/>
        </w:rPr>
        <w:t xml:space="preserve"> au passif du bilan. </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sz w:val="22"/>
        </w:rPr>
      </w:pPr>
      <w:r>
        <w:rPr>
          <w:rFonts w:ascii="Arial" w:hAnsi="Arial" w:cs="Arial"/>
          <w:sz w:val="22"/>
          <w:u w:val="single"/>
        </w:rPr>
        <w:t>Particularité </w:t>
      </w:r>
      <w:r>
        <w:rPr>
          <w:rFonts w:ascii="Arial" w:hAnsi="Arial" w:cs="Arial"/>
          <w:sz w:val="22"/>
        </w:rPr>
        <w:t xml:space="preserve">: </w:t>
      </w:r>
    </w:p>
    <w:p w:rsidR="00AA2C82" w:rsidRDefault="00DF751D">
      <w:pPr>
        <w:numPr>
          <w:ilvl w:val="0"/>
          <w:numId w:val="2"/>
        </w:numPr>
        <w:spacing w:line="360" w:lineRule="auto"/>
        <w:jc w:val="both"/>
        <w:rPr>
          <w:rFonts w:ascii="Arial" w:hAnsi="Arial" w:cs="Arial"/>
          <w:sz w:val="22"/>
        </w:rPr>
      </w:pPr>
      <w:r>
        <w:rPr>
          <w:rFonts w:ascii="Arial" w:hAnsi="Arial" w:cs="Arial"/>
          <w:b/>
          <w:bCs/>
          <w:sz w:val="22"/>
        </w:rPr>
        <w:t>Pour les entreprises soumises à l’IS</w:t>
      </w:r>
      <w:r>
        <w:rPr>
          <w:rFonts w:ascii="Arial" w:hAnsi="Arial" w:cs="Arial"/>
          <w:sz w:val="22"/>
        </w:rPr>
        <w:t> : les déficits des exercices ouverts à compter du 1/1/2004 peuvent s’imputer indéfiniment sur les résultats à venir (avant ils étaient reportables 5 ans).</w:t>
      </w:r>
    </w:p>
    <w:p w:rsidR="00AA2C82" w:rsidRDefault="00DF751D">
      <w:pPr>
        <w:numPr>
          <w:ilvl w:val="0"/>
          <w:numId w:val="2"/>
        </w:numPr>
        <w:spacing w:line="360" w:lineRule="auto"/>
        <w:jc w:val="both"/>
        <w:rPr>
          <w:rFonts w:ascii="Arial" w:hAnsi="Arial" w:cs="Arial"/>
          <w:sz w:val="22"/>
        </w:rPr>
      </w:pPr>
      <w:r>
        <w:rPr>
          <w:rFonts w:ascii="Arial" w:hAnsi="Arial" w:cs="Arial"/>
          <w:b/>
          <w:bCs/>
          <w:sz w:val="22"/>
        </w:rPr>
        <w:t>Pour les entreprises non soumises à l’IS</w:t>
      </w:r>
      <w:r>
        <w:rPr>
          <w:rFonts w:ascii="Arial" w:hAnsi="Arial" w:cs="Arial"/>
          <w:sz w:val="22"/>
        </w:rPr>
        <w:t> : le résultat est reportable pendant 6 ans.</w:t>
      </w:r>
    </w:p>
    <w:p w:rsidR="00AA2C82" w:rsidRDefault="00AA2C82">
      <w:pPr>
        <w:spacing w:line="360" w:lineRule="auto"/>
        <w:jc w:val="both"/>
        <w:rPr>
          <w:rFonts w:ascii="Arial" w:hAnsi="Arial" w:cs="Arial"/>
          <w:b/>
          <w:bCs/>
          <w:sz w:val="22"/>
        </w:rPr>
      </w:pPr>
    </w:p>
    <w:p w:rsidR="00AA2C82" w:rsidRDefault="00DF751D">
      <w:pPr>
        <w:spacing w:line="360" w:lineRule="auto"/>
        <w:ind w:left="1416"/>
        <w:jc w:val="both"/>
        <w:rPr>
          <w:rFonts w:ascii="Arial" w:hAnsi="Arial" w:cs="Arial"/>
          <w:color w:val="FF00FF"/>
        </w:rPr>
      </w:pPr>
      <w:r>
        <w:rPr>
          <w:rFonts w:ascii="Arial" w:hAnsi="Arial" w:cs="Arial"/>
          <w:color w:val="FF00FF"/>
        </w:rPr>
        <w:t>II – La cession des immobilisations et la TVA</w:t>
      </w:r>
    </w:p>
    <w:p w:rsidR="00AA2C82" w:rsidRDefault="00DF751D">
      <w:pPr>
        <w:spacing w:line="360" w:lineRule="auto"/>
        <w:jc w:val="both"/>
        <w:rPr>
          <w:rFonts w:ascii="Arial" w:hAnsi="Arial" w:cs="Arial"/>
          <w:color w:val="FF00FF"/>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color w:val="FF00FF"/>
          <w:sz w:val="22"/>
        </w:rPr>
        <w:t>A – Le régime de droit commun : l’imposition à la TVA</w:t>
      </w:r>
    </w:p>
    <w:p w:rsidR="00AA2C82" w:rsidRDefault="00DF751D">
      <w:pPr>
        <w:spacing w:line="360" w:lineRule="auto"/>
        <w:jc w:val="both"/>
        <w:rPr>
          <w:rFonts w:ascii="Arial" w:hAnsi="Arial" w:cs="Arial"/>
          <w:sz w:val="22"/>
        </w:rPr>
      </w:pPr>
      <w:r>
        <w:rPr>
          <w:rFonts w:ascii="Arial" w:hAnsi="Arial" w:cs="Arial"/>
          <w:sz w:val="22"/>
        </w:rPr>
        <w:t xml:space="preserve">Quand on cède une immobilisation, </w:t>
      </w:r>
      <w:r>
        <w:rPr>
          <w:rFonts w:ascii="Arial" w:hAnsi="Arial" w:cs="Arial"/>
          <w:b/>
          <w:bCs/>
          <w:sz w:val="22"/>
        </w:rPr>
        <w:t>on collecte la TVA sur le prix de cession</w:t>
      </w:r>
      <w:r>
        <w:rPr>
          <w:rFonts w:ascii="Arial" w:hAnsi="Arial" w:cs="Arial"/>
          <w:sz w:val="22"/>
        </w:rPr>
        <w:t xml:space="preserve"> au taux de droit commun </w:t>
      </w:r>
      <w:r>
        <w:rPr>
          <w:rFonts w:ascii="Arial" w:hAnsi="Arial" w:cs="Arial"/>
          <w:b/>
          <w:bCs/>
          <w:sz w:val="22"/>
        </w:rPr>
        <w:t xml:space="preserve">sauf </w:t>
      </w:r>
      <w:r>
        <w:rPr>
          <w:rFonts w:ascii="Arial" w:hAnsi="Arial" w:cs="Arial"/>
          <w:sz w:val="22"/>
        </w:rPr>
        <w:t xml:space="preserve">si on n’a pu récupérer la TVA lors de l’acquisition du bien (ex : véhicule de tourisme). On peut tout de même sur option demander à appliquer la TVA sur ce type de biens dans le cas où on le vend à un négociant. </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sz w:val="22"/>
        </w:rPr>
      </w:pPr>
      <w:r>
        <w:rPr>
          <w:rFonts w:ascii="Arial" w:hAnsi="Arial" w:cs="Arial"/>
          <w:sz w:val="22"/>
          <w:u w:val="single"/>
        </w:rPr>
        <w:t>Ecriture </w:t>
      </w:r>
      <w:r>
        <w:rPr>
          <w:rFonts w:ascii="Arial" w:hAnsi="Arial" w:cs="Arial"/>
          <w:sz w:val="22"/>
        </w:rPr>
        <w:t>: 462 – Créance sur cession d’immobilisation</w:t>
      </w:r>
    </w:p>
    <w:p w:rsidR="00AA2C82" w:rsidRDefault="00DF751D">
      <w:pPr>
        <w:spacing w:line="360" w:lineRule="auto"/>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4457 – TVA collectée</w:t>
      </w:r>
    </w:p>
    <w:p w:rsidR="00AA2C82" w:rsidRDefault="00DF751D">
      <w:pPr>
        <w:spacing w:line="360" w:lineRule="auto"/>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775 – Produit de cession</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color w:val="FF00FF"/>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color w:val="FF00FF"/>
          <w:sz w:val="22"/>
        </w:rPr>
        <w:t>B – Le régime exceptionnel : le reversement de la TVA</w:t>
      </w:r>
    </w:p>
    <w:p w:rsidR="00AA2C82" w:rsidRDefault="00DF751D">
      <w:pPr>
        <w:spacing w:line="360" w:lineRule="auto"/>
        <w:jc w:val="both"/>
        <w:rPr>
          <w:rFonts w:ascii="Arial" w:hAnsi="Arial" w:cs="Arial"/>
          <w:sz w:val="22"/>
        </w:rPr>
      </w:pPr>
      <w:r>
        <w:rPr>
          <w:rFonts w:ascii="Arial" w:hAnsi="Arial" w:cs="Arial"/>
          <w:sz w:val="22"/>
        </w:rPr>
        <w:t xml:space="preserve">Quand on cède le bien, </w:t>
      </w:r>
      <w:r>
        <w:rPr>
          <w:rFonts w:ascii="Arial" w:hAnsi="Arial" w:cs="Arial"/>
          <w:b/>
          <w:bCs/>
          <w:sz w:val="22"/>
        </w:rPr>
        <w:t>on régularise la TVA récupérée lors de l’acquisition, atténuée d’1/5</w:t>
      </w:r>
      <w:r>
        <w:rPr>
          <w:rFonts w:ascii="Arial" w:hAnsi="Arial" w:cs="Arial"/>
          <w:b/>
          <w:bCs/>
          <w:sz w:val="22"/>
          <w:vertAlign w:val="superscript"/>
        </w:rPr>
        <w:t>e</w:t>
      </w:r>
      <w:r>
        <w:rPr>
          <w:rFonts w:ascii="Arial" w:hAnsi="Arial" w:cs="Arial"/>
          <w:b/>
          <w:bCs/>
          <w:sz w:val="22"/>
        </w:rPr>
        <w:t xml:space="preserve"> par année ou fraction d’années de détention de l’immobilisation</w:t>
      </w:r>
      <w:r>
        <w:rPr>
          <w:rFonts w:ascii="Arial" w:hAnsi="Arial" w:cs="Arial"/>
          <w:sz w:val="22"/>
        </w:rPr>
        <w:t>. S’applique dans 2 cas :</w:t>
      </w:r>
    </w:p>
    <w:p w:rsidR="00AA2C82" w:rsidRDefault="00DF751D">
      <w:pPr>
        <w:numPr>
          <w:ilvl w:val="0"/>
          <w:numId w:val="2"/>
        </w:numPr>
        <w:spacing w:line="360" w:lineRule="auto"/>
        <w:jc w:val="both"/>
        <w:rPr>
          <w:rFonts w:ascii="Arial" w:hAnsi="Arial" w:cs="Arial"/>
          <w:sz w:val="22"/>
        </w:rPr>
      </w:pPr>
      <w:r>
        <w:rPr>
          <w:rFonts w:ascii="Arial" w:hAnsi="Arial" w:cs="Arial"/>
          <w:sz w:val="22"/>
        </w:rPr>
        <w:t>Lors du transfert d’un bien soumis à TVA vers un secteur non soumis à cette taxe</w:t>
      </w:r>
    </w:p>
    <w:p w:rsidR="00AA2C82" w:rsidRDefault="00DF751D">
      <w:pPr>
        <w:numPr>
          <w:ilvl w:val="0"/>
          <w:numId w:val="2"/>
        </w:numPr>
        <w:spacing w:line="360" w:lineRule="auto"/>
        <w:jc w:val="both"/>
        <w:rPr>
          <w:rFonts w:ascii="Arial" w:hAnsi="Arial" w:cs="Arial"/>
          <w:sz w:val="22"/>
        </w:rPr>
      </w:pPr>
      <w:r>
        <w:rPr>
          <w:rFonts w:ascii="Arial" w:hAnsi="Arial" w:cs="Arial"/>
          <w:sz w:val="22"/>
        </w:rPr>
        <w:t>Lors du transfert d’un bien immobilier d’une entreprise individuelle au patrimoine privé de l’exploitant.</w:t>
      </w:r>
    </w:p>
    <w:p w:rsidR="00AA2C82" w:rsidRDefault="00DF751D">
      <w:pPr>
        <w:spacing w:line="360" w:lineRule="auto"/>
        <w:jc w:val="both"/>
        <w:rPr>
          <w:rFonts w:ascii="Arial" w:hAnsi="Arial" w:cs="Arial"/>
          <w:sz w:val="22"/>
        </w:rPr>
      </w:pPr>
      <w:r>
        <w:rPr>
          <w:rFonts w:ascii="Arial" w:hAnsi="Arial" w:cs="Arial"/>
          <w:sz w:val="22"/>
        </w:rPr>
        <w:t xml:space="preserve">Quand on cède un immeuble, acquis à compter du 1/1/96, sur lequel on a récupéré de la TVA lors de l’acquisition, il faut </w:t>
      </w:r>
      <w:r>
        <w:rPr>
          <w:rFonts w:ascii="Arial" w:hAnsi="Arial" w:cs="Arial"/>
          <w:b/>
          <w:bCs/>
          <w:sz w:val="22"/>
        </w:rPr>
        <w:t>reverser la TVA atténuée d’1/20</w:t>
      </w:r>
      <w:r>
        <w:rPr>
          <w:rFonts w:ascii="Arial" w:hAnsi="Arial" w:cs="Arial"/>
          <w:b/>
          <w:bCs/>
          <w:sz w:val="22"/>
          <w:vertAlign w:val="superscript"/>
        </w:rPr>
        <w:t>e</w:t>
      </w:r>
      <w:r>
        <w:rPr>
          <w:rFonts w:ascii="Arial" w:hAnsi="Arial" w:cs="Arial"/>
          <w:b/>
          <w:bCs/>
          <w:sz w:val="22"/>
        </w:rPr>
        <w:t xml:space="preserve"> par année ou fraction d’année de détention de l’immeuble</w:t>
      </w:r>
      <w:r>
        <w:rPr>
          <w:rFonts w:ascii="Arial" w:hAnsi="Arial" w:cs="Arial"/>
          <w:sz w:val="22"/>
        </w:rPr>
        <w:t>.</w:t>
      </w:r>
    </w:p>
    <w:p w:rsidR="00AA2C82" w:rsidRDefault="00DF751D">
      <w:pPr>
        <w:spacing w:line="360" w:lineRule="auto"/>
        <w:jc w:val="both"/>
        <w:rPr>
          <w:rFonts w:ascii="Arial" w:hAnsi="Arial" w:cs="Arial"/>
          <w:sz w:val="22"/>
        </w:rPr>
      </w:pPr>
      <w:r>
        <w:rPr>
          <w:rFonts w:ascii="Arial" w:hAnsi="Arial" w:cs="Arial"/>
          <w:sz w:val="22"/>
          <w:u w:val="single"/>
        </w:rPr>
        <w:t>Particularité </w:t>
      </w:r>
      <w:r>
        <w:rPr>
          <w:rFonts w:ascii="Arial" w:hAnsi="Arial" w:cs="Arial"/>
          <w:sz w:val="22"/>
        </w:rPr>
        <w:t>: Impôt lors de la vente d’un immeuble</w:t>
      </w:r>
    </w:p>
    <w:p w:rsidR="00AA2C82" w:rsidRDefault="00DF751D">
      <w:pPr>
        <w:numPr>
          <w:ilvl w:val="0"/>
          <w:numId w:val="2"/>
        </w:numPr>
        <w:spacing w:line="360" w:lineRule="auto"/>
        <w:jc w:val="both"/>
        <w:rPr>
          <w:rFonts w:ascii="Arial" w:hAnsi="Arial" w:cs="Arial"/>
          <w:sz w:val="22"/>
        </w:rPr>
      </w:pPr>
      <w:r>
        <w:rPr>
          <w:rFonts w:ascii="Arial" w:hAnsi="Arial" w:cs="Arial"/>
          <w:b/>
          <w:bCs/>
          <w:sz w:val="22"/>
        </w:rPr>
        <w:t>TVA </w:t>
      </w:r>
      <w:r>
        <w:rPr>
          <w:rFonts w:ascii="Arial" w:hAnsi="Arial" w:cs="Arial"/>
          <w:sz w:val="22"/>
        </w:rPr>
        <w:t>: s’il s’agit de la 1</w:t>
      </w:r>
      <w:r>
        <w:rPr>
          <w:rFonts w:ascii="Arial" w:hAnsi="Arial" w:cs="Arial"/>
          <w:sz w:val="22"/>
          <w:vertAlign w:val="superscript"/>
        </w:rPr>
        <w:t>ère</w:t>
      </w:r>
      <w:r>
        <w:rPr>
          <w:rFonts w:ascii="Arial" w:hAnsi="Arial" w:cs="Arial"/>
          <w:sz w:val="22"/>
        </w:rPr>
        <w:t xml:space="preserve"> </w:t>
      </w:r>
      <w:proofErr w:type="spellStart"/>
      <w:r>
        <w:rPr>
          <w:rFonts w:ascii="Arial" w:hAnsi="Arial" w:cs="Arial"/>
          <w:sz w:val="22"/>
        </w:rPr>
        <w:t>cession</w:t>
      </w:r>
      <w:proofErr w:type="spellEnd"/>
      <w:r>
        <w:rPr>
          <w:rFonts w:ascii="Arial" w:hAnsi="Arial" w:cs="Arial"/>
          <w:sz w:val="22"/>
        </w:rPr>
        <w:t xml:space="preserve"> de ‘immeuble </w:t>
      </w:r>
      <w:r>
        <w:rPr>
          <w:rFonts w:ascii="Arial" w:hAnsi="Arial" w:cs="Arial"/>
          <w:b/>
          <w:bCs/>
          <w:sz w:val="22"/>
        </w:rPr>
        <w:t>et</w:t>
      </w:r>
      <w:r>
        <w:rPr>
          <w:rFonts w:ascii="Arial" w:hAnsi="Arial" w:cs="Arial"/>
          <w:sz w:val="22"/>
        </w:rPr>
        <w:t xml:space="preserve"> que celle-ci intervient dans les 5 ans de son achèvement.</w:t>
      </w:r>
    </w:p>
    <w:p w:rsidR="00AA2C82" w:rsidRDefault="00DF751D">
      <w:pPr>
        <w:numPr>
          <w:ilvl w:val="0"/>
          <w:numId w:val="2"/>
        </w:numPr>
        <w:spacing w:line="360" w:lineRule="auto"/>
        <w:jc w:val="both"/>
        <w:rPr>
          <w:rFonts w:ascii="Arial" w:hAnsi="Arial" w:cs="Arial"/>
          <w:sz w:val="22"/>
        </w:rPr>
      </w:pPr>
      <w:r>
        <w:rPr>
          <w:rFonts w:ascii="Arial" w:hAnsi="Arial" w:cs="Arial"/>
          <w:b/>
          <w:bCs/>
          <w:sz w:val="22"/>
        </w:rPr>
        <w:t>Droits d’enregistrement de 4,89%</w:t>
      </w:r>
      <w:r>
        <w:rPr>
          <w:rFonts w:ascii="Arial" w:hAnsi="Arial" w:cs="Arial"/>
          <w:sz w:val="22"/>
        </w:rPr>
        <w:t> : dans tous les autres cas.</w:t>
      </w:r>
    </w:p>
    <w:p w:rsidR="00AA2C82" w:rsidRDefault="00DF751D">
      <w:pPr>
        <w:pStyle w:val="BodyText2"/>
        <w:rPr>
          <w:color w:val="auto"/>
          <w:sz w:val="22"/>
        </w:rPr>
      </w:pPr>
      <w:r>
        <w:rPr>
          <w:color w:val="auto"/>
          <w:sz w:val="22"/>
        </w:rPr>
        <w:t xml:space="preserve">Si l’acheteur est assujetti à la TVA, il peut déduire l’intégralité de la TVA payée. Dans le cas contraire, elle ne lui est pas remboursée. </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color w:val="FF00FF"/>
        </w:rPr>
      </w:pPr>
      <w:r>
        <w:rPr>
          <w:rFonts w:ascii="Arial" w:hAnsi="Arial" w:cs="Arial"/>
          <w:sz w:val="22"/>
        </w:rPr>
        <w:lastRenderedPageBreak/>
        <w:tab/>
      </w:r>
      <w:r>
        <w:rPr>
          <w:rFonts w:ascii="Arial" w:hAnsi="Arial" w:cs="Arial"/>
          <w:sz w:val="22"/>
        </w:rPr>
        <w:tab/>
      </w:r>
      <w:r>
        <w:rPr>
          <w:rFonts w:ascii="Arial" w:hAnsi="Arial" w:cs="Arial"/>
          <w:sz w:val="22"/>
        </w:rPr>
        <w:tab/>
      </w:r>
      <w:r>
        <w:rPr>
          <w:rFonts w:ascii="Arial" w:hAnsi="Arial" w:cs="Arial"/>
          <w:color w:val="FF00FF"/>
        </w:rPr>
        <w:t>III – Le cas particulier : la déduction complémentaire de TVA</w:t>
      </w:r>
    </w:p>
    <w:p w:rsidR="00AA2C82" w:rsidRDefault="00DF751D">
      <w:pPr>
        <w:spacing w:line="360" w:lineRule="auto"/>
        <w:jc w:val="both"/>
        <w:rPr>
          <w:rFonts w:ascii="Arial" w:hAnsi="Arial" w:cs="Arial"/>
          <w:sz w:val="22"/>
        </w:rPr>
      </w:pPr>
      <w:r>
        <w:rPr>
          <w:rFonts w:ascii="Arial" w:hAnsi="Arial" w:cs="Arial"/>
          <w:sz w:val="22"/>
        </w:rPr>
        <w:t xml:space="preserve">Cela </w:t>
      </w:r>
      <w:r>
        <w:rPr>
          <w:rFonts w:ascii="Arial" w:hAnsi="Arial" w:cs="Arial"/>
          <w:b/>
          <w:bCs/>
          <w:sz w:val="22"/>
        </w:rPr>
        <w:t>revient à déduire une TVA que l’on n’a pas récupérée initialement</w:t>
      </w:r>
      <w:r>
        <w:rPr>
          <w:rFonts w:ascii="Arial" w:hAnsi="Arial" w:cs="Arial"/>
          <w:sz w:val="22"/>
        </w:rPr>
        <w:t>. 3 conditions :</w:t>
      </w:r>
    </w:p>
    <w:p w:rsidR="00AA2C82" w:rsidRDefault="00DF751D">
      <w:pPr>
        <w:numPr>
          <w:ilvl w:val="0"/>
          <w:numId w:val="2"/>
        </w:numPr>
        <w:spacing w:line="360" w:lineRule="auto"/>
        <w:jc w:val="both"/>
        <w:rPr>
          <w:rFonts w:ascii="Arial" w:hAnsi="Arial" w:cs="Arial"/>
          <w:sz w:val="22"/>
        </w:rPr>
      </w:pPr>
      <w:r>
        <w:rPr>
          <w:rFonts w:ascii="Arial" w:hAnsi="Arial" w:cs="Arial"/>
          <w:sz w:val="22"/>
        </w:rPr>
        <w:t xml:space="preserve">la cession </w:t>
      </w:r>
      <w:r>
        <w:rPr>
          <w:rFonts w:ascii="Arial" w:hAnsi="Arial" w:cs="Arial"/>
          <w:b/>
          <w:bCs/>
          <w:sz w:val="22"/>
        </w:rPr>
        <w:t>doit intervenir à l’intérieur du délai de régularisation</w:t>
      </w:r>
      <w:r>
        <w:rPr>
          <w:rFonts w:ascii="Arial" w:hAnsi="Arial" w:cs="Arial"/>
          <w:sz w:val="22"/>
        </w:rPr>
        <w:t> :</w:t>
      </w:r>
    </w:p>
    <w:p w:rsidR="00AA2C82" w:rsidRDefault="00DF751D">
      <w:pPr>
        <w:numPr>
          <w:ilvl w:val="1"/>
          <w:numId w:val="2"/>
        </w:numPr>
        <w:spacing w:line="360" w:lineRule="auto"/>
        <w:jc w:val="both"/>
        <w:rPr>
          <w:rFonts w:ascii="Arial" w:hAnsi="Arial" w:cs="Arial"/>
          <w:sz w:val="22"/>
        </w:rPr>
      </w:pPr>
      <w:r>
        <w:rPr>
          <w:rFonts w:ascii="Arial" w:hAnsi="Arial" w:cs="Arial"/>
          <w:b/>
          <w:bCs/>
          <w:sz w:val="22"/>
        </w:rPr>
        <w:t>pour les immeubles</w:t>
      </w:r>
      <w:r>
        <w:rPr>
          <w:rFonts w:ascii="Arial" w:hAnsi="Arial" w:cs="Arial"/>
          <w:sz w:val="22"/>
        </w:rPr>
        <w:t> : avant le 31/12 de la 18</w:t>
      </w:r>
      <w:r>
        <w:rPr>
          <w:rFonts w:ascii="Arial" w:hAnsi="Arial" w:cs="Arial"/>
          <w:sz w:val="22"/>
          <w:vertAlign w:val="superscript"/>
        </w:rPr>
        <w:t>e</w:t>
      </w:r>
      <w:r>
        <w:rPr>
          <w:rFonts w:ascii="Arial" w:hAnsi="Arial" w:cs="Arial"/>
          <w:sz w:val="22"/>
        </w:rPr>
        <w:t xml:space="preserve"> année qui suit celle de l’acquisition</w:t>
      </w:r>
    </w:p>
    <w:p w:rsidR="00AA2C82" w:rsidRDefault="00DF751D">
      <w:pPr>
        <w:numPr>
          <w:ilvl w:val="1"/>
          <w:numId w:val="2"/>
        </w:numPr>
        <w:spacing w:line="360" w:lineRule="auto"/>
        <w:jc w:val="both"/>
        <w:rPr>
          <w:rFonts w:ascii="Arial" w:hAnsi="Arial" w:cs="Arial"/>
          <w:sz w:val="22"/>
        </w:rPr>
      </w:pPr>
      <w:r>
        <w:rPr>
          <w:rFonts w:ascii="Arial" w:hAnsi="Arial" w:cs="Arial"/>
          <w:b/>
          <w:bCs/>
          <w:sz w:val="22"/>
        </w:rPr>
        <w:t>pour les autres immobilisations</w:t>
      </w:r>
      <w:r>
        <w:rPr>
          <w:rFonts w:ascii="Arial" w:hAnsi="Arial" w:cs="Arial"/>
          <w:sz w:val="22"/>
        </w:rPr>
        <w:t> : avant le 31/12 de la 3</w:t>
      </w:r>
      <w:r>
        <w:rPr>
          <w:rFonts w:ascii="Arial" w:hAnsi="Arial" w:cs="Arial"/>
          <w:sz w:val="22"/>
          <w:vertAlign w:val="superscript"/>
        </w:rPr>
        <w:t>e</w:t>
      </w:r>
      <w:r>
        <w:rPr>
          <w:rFonts w:ascii="Arial" w:hAnsi="Arial" w:cs="Arial"/>
          <w:sz w:val="22"/>
        </w:rPr>
        <w:t xml:space="preserve"> année qui suit celle de l’acquisition.</w:t>
      </w:r>
    </w:p>
    <w:p w:rsidR="00AA2C82" w:rsidRDefault="00DF751D">
      <w:pPr>
        <w:numPr>
          <w:ilvl w:val="0"/>
          <w:numId w:val="2"/>
        </w:numPr>
        <w:spacing w:line="360" w:lineRule="auto"/>
        <w:jc w:val="both"/>
        <w:rPr>
          <w:rFonts w:ascii="Arial" w:hAnsi="Arial" w:cs="Arial"/>
          <w:b/>
          <w:bCs/>
          <w:sz w:val="22"/>
        </w:rPr>
      </w:pPr>
      <w:r>
        <w:rPr>
          <w:rFonts w:ascii="Arial" w:hAnsi="Arial" w:cs="Arial"/>
          <w:sz w:val="22"/>
        </w:rPr>
        <w:t xml:space="preserve">La cession doit être </w:t>
      </w:r>
      <w:r>
        <w:rPr>
          <w:rFonts w:ascii="Arial" w:hAnsi="Arial" w:cs="Arial"/>
          <w:b/>
          <w:bCs/>
          <w:sz w:val="22"/>
        </w:rPr>
        <w:t>assujettie à la TVA</w:t>
      </w:r>
    </w:p>
    <w:p w:rsidR="00AA2C82" w:rsidRDefault="00DF751D">
      <w:pPr>
        <w:numPr>
          <w:ilvl w:val="0"/>
          <w:numId w:val="2"/>
        </w:numPr>
        <w:spacing w:line="360" w:lineRule="auto"/>
        <w:jc w:val="both"/>
        <w:rPr>
          <w:rFonts w:ascii="Arial" w:hAnsi="Arial" w:cs="Arial"/>
          <w:b/>
          <w:bCs/>
          <w:sz w:val="22"/>
        </w:rPr>
      </w:pPr>
      <w:r>
        <w:rPr>
          <w:rFonts w:ascii="Arial" w:hAnsi="Arial" w:cs="Arial"/>
          <w:b/>
          <w:bCs/>
          <w:sz w:val="22"/>
        </w:rPr>
        <w:t>La TVA grevant le bien lors de son acquisition par le vendeur ne doit pas avoir été récupérée en totalité ou partiellement.</w:t>
      </w:r>
    </w:p>
    <w:p w:rsidR="00AA2C82" w:rsidRDefault="00DF751D">
      <w:pPr>
        <w:spacing w:line="360" w:lineRule="auto"/>
        <w:jc w:val="both"/>
        <w:rPr>
          <w:rFonts w:ascii="Arial" w:hAnsi="Arial" w:cs="Arial"/>
          <w:sz w:val="22"/>
        </w:rPr>
      </w:pPr>
      <w:r>
        <w:rPr>
          <w:rFonts w:ascii="Arial" w:hAnsi="Arial" w:cs="Arial"/>
          <w:sz w:val="22"/>
        </w:rPr>
        <w:t>Toutefois, la taxe ainsi récupérée par le vendeur ne peut être &gt; à la taxe due à raison de la cession du bien.</w:t>
      </w:r>
    </w:p>
    <w:p w:rsidR="00AA2C82" w:rsidRDefault="00DF751D">
      <w:pPr>
        <w:spacing w:line="360" w:lineRule="auto"/>
        <w:jc w:val="both"/>
        <w:rPr>
          <w:rFonts w:ascii="Arial" w:hAnsi="Arial" w:cs="Arial"/>
          <w:color w:val="FF00FF"/>
          <w:sz w:val="32"/>
        </w:rPr>
      </w:pPr>
      <w:r>
        <w:rPr>
          <w:rFonts w:ascii="Arial" w:hAnsi="Arial" w:cs="Arial"/>
          <w:sz w:val="22"/>
        </w:rPr>
        <w:br w:type="page"/>
      </w:r>
      <w:r>
        <w:rPr>
          <w:rFonts w:ascii="Arial" w:hAnsi="Arial" w:cs="Arial"/>
          <w:color w:val="FF00FF"/>
          <w:sz w:val="32"/>
        </w:rPr>
        <w:lastRenderedPageBreak/>
        <w:t>Chapitre 2 : Les immobilisations incorporelles et les charges à répartir</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sz w:val="22"/>
        </w:rPr>
      </w:pPr>
      <w:r>
        <w:rPr>
          <w:rFonts w:ascii="Arial" w:hAnsi="Arial" w:cs="Arial"/>
          <w:sz w:val="22"/>
        </w:rPr>
        <w:t>Selon le principe de prudence, on comptabilise une dépense en charges dans l’exercice auquel elle se rapporte. Le fait d’inscrire une charge à l’actif résulte d’une décision de gestion.</w:t>
      </w:r>
    </w:p>
    <w:p w:rsidR="00AA2C82" w:rsidRDefault="00DF751D">
      <w:pPr>
        <w:spacing w:line="360" w:lineRule="auto"/>
        <w:jc w:val="both"/>
        <w:rPr>
          <w:rFonts w:ascii="Arial" w:hAnsi="Arial" w:cs="Arial"/>
          <w:sz w:val="22"/>
        </w:rPr>
      </w:pPr>
      <w:r>
        <w:rPr>
          <w:rFonts w:ascii="Arial" w:hAnsi="Arial" w:cs="Arial"/>
          <w:sz w:val="22"/>
        </w:rPr>
        <w:t>Depuis le 1/1/05, il n’y a plus de charges à répartir.</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color w:val="FF00FF"/>
          <w:sz w:val="28"/>
        </w:rPr>
      </w:pPr>
      <w:r>
        <w:rPr>
          <w:rFonts w:ascii="Arial" w:hAnsi="Arial" w:cs="Arial"/>
          <w:sz w:val="22"/>
        </w:rPr>
        <w:tab/>
      </w:r>
      <w:r>
        <w:rPr>
          <w:rFonts w:ascii="Arial" w:hAnsi="Arial" w:cs="Arial"/>
          <w:color w:val="FF00FF"/>
          <w:sz w:val="28"/>
        </w:rPr>
        <w:t>Section 1 : Les immobilisations incorporelles</w:t>
      </w:r>
    </w:p>
    <w:p w:rsidR="00AA2C82" w:rsidRDefault="00DF751D">
      <w:pPr>
        <w:spacing w:line="360" w:lineRule="auto"/>
        <w:jc w:val="both"/>
        <w:rPr>
          <w:rFonts w:ascii="Arial" w:hAnsi="Arial" w:cs="Arial"/>
          <w:color w:val="FF00FF"/>
        </w:rPr>
      </w:pPr>
      <w:r>
        <w:rPr>
          <w:rFonts w:ascii="Arial" w:hAnsi="Arial" w:cs="Arial"/>
          <w:sz w:val="22"/>
        </w:rPr>
        <w:tab/>
      </w:r>
      <w:r>
        <w:rPr>
          <w:rFonts w:ascii="Arial" w:hAnsi="Arial" w:cs="Arial"/>
          <w:sz w:val="22"/>
        </w:rPr>
        <w:tab/>
      </w:r>
      <w:r>
        <w:rPr>
          <w:rFonts w:ascii="Arial" w:hAnsi="Arial" w:cs="Arial"/>
          <w:color w:val="FF00FF"/>
        </w:rPr>
        <w:t>I – Les frais d’établissement</w:t>
      </w:r>
    </w:p>
    <w:p w:rsidR="00AA2C82" w:rsidRDefault="00DF751D">
      <w:pPr>
        <w:spacing w:line="360" w:lineRule="auto"/>
        <w:jc w:val="both"/>
        <w:rPr>
          <w:rFonts w:ascii="Arial" w:hAnsi="Arial" w:cs="Arial"/>
          <w:sz w:val="22"/>
        </w:rPr>
      </w:pPr>
      <w:r>
        <w:rPr>
          <w:rFonts w:ascii="Arial" w:hAnsi="Arial" w:cs="Arial"/>
          <w:sz w:val="22"/>
        </w:rPr>
        <w:t>Ce poste comprend les frais de constitution, les frais de 1</w:t>
      </w:r>
      <w:r>
        <w:rPr>
          <w:rFonts w:ascii="Arial" w:hAnsi="Arial" w:cs="Arial"/>
          <w:sz w:val="22"/>
          <w:vertAlign w:val="superscript"/>
        </w:rPr>
        <w:t>er</w:t>
      </w:r>
      <w:r>
        <w:rPr>
          <w:rFonts w:ascii="Arial" w:hAnsi="Arial" w:cs="Arial"/>
          <w:sz w:val="22"/>
        </w:rPr>
        <w:t xml:space="preserve"> établissement, les frais d’augmentation de capital et opérations diverses. </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sz w:val="22"/>
        </w:rPr>
      </w:pPr>
      <w:r>
        <w:rPr>
          <w:rFonts w:ascii="Arial" w:hAnsi="Arial" w:cs="Arial"/>
          <w:sz w:val="22"/>
          <w:u w:val="single"/>
        </w:rPr>
        <w:t>Comptabilisation</w:t>
      </w:r>
      <w:r>
        <w:rPr>
          <w:rFonts w:ascii="Arial" w:hAnsi="Arial" w:cs="Arial"/>
          <w:sz w:val="22"/>
        </w:rPr>
        <w:t xml:space="preserve"> : </w:t>
      </w:r>
    </w:p>
    <w:p w:rsidR="00AA2C82" w:rsidRDefault="00DF751D">
      <w:pPr>
        <w:numPr>
          <w:ilvl w:val="0"/>
          <w:numId w:val="2"/>
        </w:numPr>
        <w:spacing w:line="360" w:lineRule="auto"/>
        <w:jc w:val="both"/>
        <w:rPr>
          <w:rFonts w:ascii="Arial" w:hAnsi="Arial" w:cs="Arial"/>
          <w:sz w:val="22"/>
        </w:rPr>
      </w:pPr>
      <w:r>
        <w:rPr>
          <w:rFonts w:ascii="Arial" w:hAnsi="Arial" w:cs="Arial"/>
          <w:b/>
          <w:bCs/>
          <w:sz w:val="22"/>
        </w:rPr>
        <w:t>Soit en deux temps</w:t>
      </w:r>
      <w:r>
        <w:rPr>
          <w:rFonts w:ascii="Arial" w:hAnsi="Arial" w:cs="Arial"/>
          <w:sz w:val="22"/>
        </w:rPr>
        <w:t> : d’abords en charges (6. à 512) puis en immobilisation (201 à 72).</w:t>
      </w:r>
    </w:p>
    <w:p w:rsidR="00AA2C82" w:rsidRDefault="00DF751D">
      <w:pPr>
        <w:numPr>
          <w:ilvl w:val="0"/>
          <w:numId w:val="2"/>
        </w:numPr>
        <w:spacing w:line="360" w:lineRule="auto"/>
        <w:jc w:val="both"/>
        <w:rPr>
          <w:rFonts w:ascii="Arial" w:hAnsi="Arial" w:cs="Arial"/>
          <w:sz w:val="22"/>
        </w:rPr>
      </w:pPr>
      <w:r>
        <w:rPr>
          <w:rFonts w:ascii="Arial" w:hAnsi="Arial" w:cs="Arial"/>
          <w:b/>
          <w:bCs/>
          <w:sz w:val="22"/>
        </w:rPr>
        <w:t>Soit directement</w:t>
      </w:r>
      <w:r>
        <w:rPr>
          <w:rFonts w:ascii="Arial" w:hAnsi="Arial" w:cs="Arial"/>
          <w:sz w:val="22"/>
        </w:rPr>
        <w:t xml:space="preserve"> (201 à 512)</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sz w:val="22"/>
        </w:rPr>
      </w:pPr>
      <w:r>
        <w:rPr>
          <w:rFonts w:ascii="Arial" w:hAnsi="Arial" w:cs="Arial"/>
          <w:sz w:val="22"/>
          <w:u w:val="single"/>
        </w:rPr>
        <w:t>Amortissement</w:t>
      </w:r>
      <w:r>
        <w:rPr>
          <w:rFonts w:ascii="Arial" w:hAnsi="Arial" w:cs="Arial"/>
          <w:sz w:val="22"/>
        </w:rPr>
        <w:t xml:space="preserve"> : il se fait sur une durée comprise </w:t>
      </w:r>
      <w:r>
        <w:rPr>
          <w:rFonts w:ascii="Arial" w:hAnsi="Arial" w:cs="Arial"/>
          <w:b/>
          <w:bCs/>
          <w:sz w:val="22"/>
        </w:rPr>
        <w:t>entre 2 et 5 ans</w:t>
      </w:r>
      <w:r>
        <w:rPr>
          <w:rFonts w:ascii="Arial" w:hAnsi="Arial" w:cs="Arial"/>
          <w:sz w:val="22"/>
        </w:rPr>
        <w:t>.</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sz w:val="22"/>
        </w:rPr>
      </w:pPr>
      <w:r>
        <w:rPr>
          <w:rFonts w:ascii="Arial" w:hAnsi="Arial" w:cs="Arial"/>
          <w:sz w:val="22"/>
          <w:u w:val="single"/>
        </w:rPr>
        <w:t>Fiscalité</w:t>
      </w:r>
      <w:r>
        <w:rPr>
          <w:rFonts w:ascii="Arial" w:hAnsi="Arial" w:cs="Arial"/>
          <w:sz w:val="22"/>
        </w:rPr>
        <w:t> : traitement identique à celui de la comptabilité</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sz w:val="22"/>
        </w:rPr>
      </w:pPr>
      <w:r>
        <w:rPr>
          <w:rFonts w:ascii="Arial" w:hAnsi="Arial" w:cs="Arial"/>
          <w:sz w:val="22"/>
          <w:u w:val="single"/>
        </w:rPr>
        <w:t>Particularité</w:t>
      </w:r>
      <w:r>
        <w:rPr>
          <w:rFonts w:ascii="Arial" w:hAnsi="Arial" w:cs="Arial"/>
          <w:sz w:val="22"/>
        </w:rPr>
        <w:t> : dès qu’on porte des charges en frais d’établissement, on est obligé d’indiquer dans l’annexe la nature de ces charges, leur montant ainsi que la durée d’amortissement. L’année qui suit la fin du plan d’amortissement, on doit compenser les comptes d’immobilisation et d’amortissement.</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color w:val="FF00FF"/>
        </w:rPr>
      </w:pPr>
      <w:r>
        <w:rPr>
          <w:rFonts w:ascii="Arial" w:hAnsi="Arial" w:cs="Arial"/>
          <w:sz w:val="22"/>
        </w:rPr>
        <w:tab/>
      </w:r>
      <w:r>
        <w:rPr>
          <w:rFonts w:ascii="Arial" w:hAnsi="Arial" w:cs="Arial"/>
          <w:sz w:val="22"/>
        </w:rPr>
        <w:tab/>
      </w:r>
      <w:r>
        <w:rPr>
          <w:rFonts w:ascii="Arial" w:hAnsi="Arial" w:cs="Arial"/>
          <w:color w:val="FF00FF"/>
        </w:rPr>
        <w:t>II – Les frais de recherche et développement</w:t>
      </w:r>
    </w:p>
    <w:p w:rsidR="00AA2C82" w:rsidRDefault="00DF751D">
      <w:pPr>
        <w:spacing w:line="360" w:lineRule="auto"/>
        <w:jc w:val="both"/>
        <w:rPr>
          <w:rFonts w:ascii="Arial" w:hAnsi="Arial" w:cs="Arial"/>
          <w:sz w:val="22"/>
        </w:rPr>
      </w:pPr>
      <w:r>
        <w:rPr>
          <w:rFonts w:ascii="Arial" w:hAnsi="Arial" w:cs="Arial"/>
          <w:sz w:val="22"/>
        </w:rPr>
        <w:t>Ce sont des dépenses engagées par l’entreprise pour son propre compte. Pour pouvoir les porter à l’actif, il faut :</w:t>
      </w:r>
    </w:p>
    <w:p w:rsidR="00AA2C82" w:rsidRDefault="00DF751D">
      <w:pPr>
        <w:numPr>
          <w:ilvl w:val="0"/>
          <w:numId w:val="2"/>
        </w:numPr>
        <w:spacing w:line="360" w:lineRule="auto"/>
        <w:jc w:val="both"/>
        <w:rPr>
          <w:rFonts w:ascii="Arial" w:hAnsi="Arial" w:cs="Arial"/>
          <w:sz w:val="22"/>
        </w:rPr>
      </w:pPr>
      <w:r>
        <w:rPr>
          <w:rFonts w:ascii="Arial" w:hAnsi="Arial" w:cs="Arial"/>
          <w:sz w:val="22"/>
        </w:rPr>
        <w:t>que le projet en cause soit nettement individualisé</w:t>
      </w:r>
    </w:p>
    <w:p w:rsidR="00AA2C82" w:rsidRDefault="00DF751D">
      <w:pPr>
        <w:numPr>
          <w:ilvl w:val="0"/>
          <w:numId w:val="2"/>
        </w:numPr>
        <w:spacing w:line="360" w:lineRule="auto"/>
        <w:jc w:val="both"/>
        <w:rPr>
          <w:rFonts w:ascii="Arial" w:hAnsi="Arial" w:cs="Arial"/>
          <w:sz w:val="22"/>
        </w:rPr>
      </w:pPr>
      <w:r>
        <w:rPr>
          <w:rFonts w:ascii="Arial" w:hAnsi="Arial" w:cs="Arial"/>
          <w:sz w:val="22"/>
        </w:rPr>
        <w:t>qu’il est de sérieuses chances d’aboutir</w:t>
      </w:r>
    </w:p>
    <w:p w:rsidR="00AA2C82" w:rsidRDefault="00DF751D">
      <w:pPr>
        <w:spacing w:line="360" w:lineRule="auto"/>
        <w:jc w:val="both"/>
        <w:rPr>
          <w:rFonts w:ascii="Arial" w:hAnsi="Arial" w:cs="Arial"/>
          <w:sz w:val="22"/>
        </w:rPr>
      </w:pPr>
      <w:r>
        <w:rPr>
          <w:rFonts w:ascii="Arial" w:hAnsi="Arial" w:cs="Arial"/>
          <w:sz w:val="22"/>
        </w:rPr>
        <w:t>Ainsi, tout ce qui concerne la recherche fondamentale ne pourra figurer à l’actif.</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sz w:val="22"/>
        </w:rPr>
      </w:pPr>
      <w:r>
        <w:rPr>
          <w:rFonts w:ascii="Arial" w:hAnsi="Arial" w:cs="Arial"/>
          <w:sz w:val="22"/>
          <w:u w:val="single"/>
        </w:rPr>
        <w:t>Comptabilisation</w:t>
      </w:r>
      <w:r>
        <w:rPr>
          <w:rFonts w:ascii="Arial" w:hAnsi="Arial" w:cs="Arial"/>
          <w:sz w:val="22"/>
        </w:rPr>
        <w:t xml:space="preserve"> : on comptabilise d’abord </w:t>
      </w:r>
      <w:r>
        <w:rPr>
          <w:rFonts w:ascii="Arial" w:hAnsi="Arial" w:cs="Arial"/>
          <w:b/>
          <w:bCs/>
          <w:sz w:val="22"/>
        </w:rPr>
        <w:t>en charges</w:t>
      </w:r>
      <w:r>
        <w:rPr>
          <w:rFonts w:ascii="Arial" w:hAnsi="Arial" w:cs="Arial"/>
          <w:sz w:val="22"/>
        </w:rPr>
        <w:t xml:space="preserve"> (6 à 512) </w:t>
      </w:r>
      <w:r>
        <w:rPr>
          <w:rFonts w:ascii="Arial" w:hAnsi="Arial" w:cs="Arial"/>
          <w:b/>
          <w:bCs/>
          <w:sz w:val="22"/>
        </w:rPr>
        <w:t>puis si le projet répond aux critères, on les passe en immobilisation</w:t>
      </w:r>
      <w:r>
        <w:rPr>
          <w:rFonts w:ascii="Arial" w:hAnsi="Arial" w:cs="Arial"/>
          <w:sz w:val="22"/>
        </w:rPr>
        <w:t xml:space="preserve"> (203 à 72). </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sz w:val="22"/>
        </w:rPr>
      </w:pPr>
      <w:r>
        <w:rPr>
          <w:rFonts w:ascii="Arial" w:hAnsi="Arial" w:cs="Arial"/>
          <w:sz w:val="22"/>
          <w:u w:val="single"/>
        </w:rPr>
        <w:lastRenderedPageBreak/>
        <w:t>Amortissement </w:t>
      </w:r>
      <w:r>
        <w:rPr>
          <w:rFonts w:ascii="Arial" w:hAnsi="Arial" w:cs="Arial"/>
          <w:sz w:val="22"/>
        </w:rPr>
        <w:t xml:space="preserve">: de </w:t>
      </w:r>
      <w:r>
        <w:rPr>
          <w:rFonts w:ascii="Arial" w:hAnsi="Arial" w:cs="Arial"/>
          <w:b/>
          <w:bCs/>
          <w:sz w:val="22"/>
        </w:rPr>
        <w:t>2 à 5 ans en linéaire</w:t>
      </w:r>
      <w:r>
        <w:rPr>
          <w:rFonts w:ascii="Arial" w:hAnsi="Arial" w:cs="Arial"/>
          <w:sz w:val="22"/>
        </w:rPr>
        <w:t>. La date du début de l’amortissement est la date à laquelle le projet est terminé et qu’il fonctionne. Compensation des comptes à la fin du plan d’amortissement.</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sz w:val="22"/>
        </w:rPr>
      </w:pPr>
      <w:r>
        <w:rPr>
          <w:rFonts w:ascii="Arial" w:hAnsi="Arial" w:cs="Arial"/>
          <w:sz w:val="22"/>
          <w:u w:val="single"/>
        </w:rPr>
        <w:t>Fiscalité </w:t>
      </w:r>
      <w:r>
        <w:rPr>
          <w:rFonts w:ascii="Arial" w:hAnsi="Arial" w:cs="Arial"/>
          <w:sz w:val="22"/>
        </w:rPr>
        <w:t xml:space="preserve">: identique à la comptabilité. </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sz w:val="22"/>
        </w:rPr>
      </w:pPr>
      <w:r>
        <w:rPr>
          <w:rFonts w:ascii="Arial" w:hAnsi="Arial" w:cs="Arial"/>
          <w:sz w:val="22"/>
          <w:u w:val="single"/>
        </w:rPr>
        <w:t>Particularité</w:t>
      </w:r>
      <w:r>
        <w:rPr>
          <w:rFonts w:ascii="Arial" w:hAnsi="Arial" w:cs="Arial"/>
          <w:sz w:val="22"/>
        </w:rPr>
        <w:t xml:space="preserve"> : </w:t>
      </w:r>
      <w:r>
        <w:rPr>
          <w:rFonts w:ascii="Arial" w:hAnsi="Arial" w:cs="Arial"/>
          <w:b/>
          <w:bCs/>
          <w:sz w:val="22"/>
        </w:rPr>
        <w:t xml:space="preserve">le crédit d’impôt recherche. </w:t>
      </w:r>
      <w:r>
        <w:rPr>
          <w:rFonts w:ascii="Arial" w:hAnsi="Arial" w:cs="Arial"/>
          <w:sz w:val="22"/>
        </w:rPr>
        <w:t xml:space="preserve">C’est une incitation fiscale pour les entreprises ayant des frais de R&amp;D. Pour en bénéficier, il faut en faire l’option pour chaque exercice. </w:t>
      </w:r>
    </w:p>
    <w:p w:rsidR="00AA2C82" w:rsidRDefault="00DF751D">
      <w:pPr>
        <w:spacing w:line="360" w:lineRule="auto"/>
        <w:jc w:val="both"/>
        <w:rPr>
          <w:rFonts w:ascii="Arial" w:hAnsi="Arial" w:cs="Arial"/>
          <w:sz w:val="22"/>
        </w:rPr>
      </w:pPr>
      <w:r>
        <w:rPr>
          <w:rFonts w:ascii="Arial" w:hAnsi="Arial" w:cs="Arial"/>
          <w:sz w:val="22"/>
        </w:rPr>
        <w:t>Il se calcul comme suit :</w:t>
      </w:r>
    </w:p>
    <w:p w:rsidR="00AA2C82" w:rsidRDefault="00DF751D">
      <w:pPr>
        <w:numPr>
          <w:ilvl w:val="0"/>
          <w:numId w:val="2"/>
        </w:numPr>
        <w:spacing w:line="360" w:lineRule="auto"/>
        <w:jc w:val="both"/>
        <w:rPr>
          <w:rFonts w:ascii="Arial" w:hAnsi="Arial" w:cs="Arial"/>
          <w:sz w:val="22"/>
        </w:rPr>
      </w:pPr>
      <w:r>
        <w:rPr>
          <w:rFonts w:ascii="Arial" w:hAnsi="Arial" w:cs="Arial"/>
          <w:b/>
          <w:bCs/>
          <w:sz w:val="22"/>
        </w:rPr>
        <w:t>part en volume</w:t>
      </w:r>
      <w:r>
        <w:rPr>
          <w:rFonts w:ascii="Arial" w:hAnsi="Arial" w:cs="Arial"/>
          <w:sz w:val="22"/>
        </w:rPr>
        <w:t xml:space="preserve"> = 5% des dépenses engagées au cours de l’année civile</w:t>
      </w:r>
    </w:p>
    <w:p w:rsidR="00AA2C82" w:rsidRDefault="00DF751D">
      <w:pPr>
        <w:numPr>
          <w:ilvl w:val="0"/>
          <w:numId w:val="2"/>
        </w:numPr>
        <w:spacing w:line="360" w:lineRule="auto"/>
        <w:jc w:val="both"/>
        <w:rPr>
          <w:rFonts w:ascii="Arial" w:hAnsi="Arial" w:cs="Arial"/>
          <w:sz w:val="22"/>
        </w:rPr>
      </w:pPr>
      <w:r>
        <w:rPr>
          <w:rFonts w:ascii="Arial" w:hAnsi="Arial" w:cs="Arial"/>
          <w:b/>
          <w:bCs/>
          <w:sz w:val="22"/>
        </w:rPr>
        <w:t>part en accroissement</w:t>
      </w:r>
      <w:r>
        <w:rPr>
          <w:rFonts w:ascii="Arial" w:hAnsi="Arial" w:cs="Arial"/>
          <w:sz w:val="22"/>
        </w:rPr>
        <w:t xml:space="preserve"> = 45% X (excédent des dépenses engagées au cours de l’année civile N – (((dépenses N-1 X indice du coût à la consommation hors tabac) + (dépenses N-2 X indice du coût à la consommation hors tabac)) /2)</w:t>
      </w:r>
    </w:p>
    <w:p w:rsidR="00AA2C82" w:rsidRDefault="00DF751D">
      <w:pPr>
        <w:spacing w:line="360" w:lineRule="auto"/>
        <w:jc w:val="both"/>
        <w:rPr>
          <w:rFonts w:ascii="Arial" w:hAnsi="Arial" w:cs="Arial"/>
          <w:sz w:val="22"/>
        </w:rPr>
      </w:pPr>
      <w:r>
        <w:rPr>
          <w:rFonts w:ascii="Arial" w:hAnsi="Arial" w:cs="Arial"/>
          <w:b/>
          <w:bCs/>
          <w:sz w:val="22"/>
        </w:rPr>
        <w:t>Quand la part en accroissement est &lt; 0</w:t>
      </w:r>
      <w:r>
        <w:rPr>
          <w:rFonts w:ascii="Arial" w:hAnsi="Arial" w:cs="Arial"/>
          <w:sz w:val="22"/>
        </w:rPr>
        <w:t xml:space="preserve">, il ne peut pas se compenser avec le CI pour la part en volume mais il est </w:t>
      </w:r>
      <w:r>
        <w:rPr>
          <w:rFonts w:ascii="Arial" w:hAnsi="Arial" w:cs="Arial"/>
          <w:b/>
          <w:bCs/>
          <w:sz w:val="22"/>
        </w:rPr>
        <w:t>imputable sur le CI pour la part en accroissement des 5 exercices suivants, dans la limité des CI pour la part en accroissement antérieurement obtenue</w:t>
      </w:r>
      <w:r>
        <w:rPr>
          <w:rFonts w:ascii="Arial" w:hAnsi="Arial" w:cs="Arial"/>
          <w:sz w:val="22"/>
        </w:rPr>
        <w:t>. Au-delà, il est annulé.</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sz w:val="22"/>
        </w:rPr>
      </w:pPr>
      <w:r>
        <w:rPr>
          <w:rFonts w:ascii="Arial" w:hAnsi="Arial" w:cs="Arial"/>
          <w:sz w:val="22"/>
        </w:rPr>
        <w:t xml:space="preserve">Un CIR est imputable sur l’IS (444 à 699) et un CIR &lt; 0 n’est pas imposable, il est imputable sur l’IS des 3 exercices suivants. Au-delà, il est remboursé par l’administration. </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sz w:val="22"/>
        </w:rPr>
      </w:pPr>
      <w:r>
        <w:rPr>
          <w:rFonts w:ascii="Arial" w:hAnsi="Arial" w:cs="Arial"/>
          <w:sz w:val="22"/>
        </w:rPr>
        <w:t>Dépenses à prendre en compte pour le calcul du CIR :</w:t>
      </w:r>
    </w:p>
    <w:p w:rsidR="00AA2C82" w:rsidRDefault="00DF751D">
      <w:pPr>
        <w:numPr>
          <w:ilvl w:val="0"/>
          <w:numId w:val="2"/>
        </w:numPr>
        <w:spacing w:line="360" w:lineRule="auto"/>
        <w:jc w:val="both"/>
        <w:rPr>
          <w:rFonts w:ascii="Arial" w:hAnsi="Arial" w:cs="Arial"/>
          <w:sz w:val="22"/>
        </w:rPr>
      </w:pPr>
      <w:r>
        <w:rPr>
          <w:rFonts w:ascii="Arial" w:hAnsi="Arial" w:cs="Arial"/>
          <w:sz w:val="22"/>
        </w:rPr>
        <w:t>la dotation aux amortissements fiscalement déductibles des immobilisations affectée directement à la R&amp;D</w:t>
      </w:r>
    </w:p>
    <w:p w:rsidR="00AA2C82" w:rsidRDefault="00DF751D">
      <w:pPr>
        <w:numPr>
          <w:ilvl w:val="0"/>
          <w:numId w:val="2"/>
        </w:numPr>
        <w:spacing w:line="360" w:lineRule="auto"/>
        <w:jc w:val="both"/>
        <w:rPr>
          <w:rFonts w:ascii="Arial" w:hAnsi="Arial" w:cs="Arial"/>
          <w:sz w:val="22"/>
        </w:rPr>
      </w:pPr>
      <w:r>
        <w:rPr>
          <w:rFonts w:ascii="Arial" w:hAnsi="Arial" w:cs="Arial"/>
          <w:sz w:val="22"/>
        </w:rPr>
        <w:t>la dotation aux amortissements déductibles des brevets acquis en vue de réaliser des recherches</w:t>
      </w:r>
    </w:p>
    <w:p w:rsidR="00AA2C82" w:rsidRDefault="00DF751D">
      <w:pPr>
        <w:numPr>
          <w:ilvl w:val="0"/>
          <w:numId w:val="2"/>
        </w:numPr>
        <w:spacing w:line="360" w:lineRule="auto"/>
        <w:jc w:val="both"/>
        <w:rPr>
          <w:rFonts w:ascii="Arial" w:hAnsi="Arial" w:cs="Arial"/>
          <w:sz w:val="22"/>
        </w:rPr>
      </w:pPr>
      <w:r>
        <w:rPr>
          <w:rFonts w:ascii="Arial" w:hAnsi="Arial" w:cs="Arial"/>
          <w:sz w:val="22"/>
        </w:rPr>
        <w:t>les dépenses de personnel : chercheurs et techniciens affectés directement aux opérations de recherche (salaire + cotisations sociales)</w:t>
      </w:r>
    </w:p>
    <w:p w:rsidR="00AA2C82" w:rsidRDefault="00DF751D">
      <w:pPr>
        <w:numPr>
          <w:ilvl w:val="0"/>
          <w:numId w:val="2"/>
        </w:numPr>
        <w:spacing w:line="360" w:lineRule="auto"/>
        <w:jc w:val="both"/>
        <w:rPr>
          <w:rFonts w:ascii="Arial" w:hAnsi="Arial" w:cs="Arial"/>
          <w:sz w:val="22"/>
        </w:rPr>
      </w:pPr>
      <w:r>
        <w:rPr>
          <w:rFonts w:ascii="Arial" w:hAnsi="Arial" w:cs="Arial"/>
          <w:sz w:val="22"/>
        </w:rPr>
        <w:t>les dépenses de fonctionnement liées à la recherche : 75% des dépenses de personnel</w:t>
      </w:r>
    </w:p>
    <w:p w:rsidR="00AA2C82" w:rsidRDefault="00DF751D">
      <w:pPr>
        <w:numPr>
          <w:ilvl w:val="0"/>
          <w:numId w:val="2"/>
        </w:numPr>
        <w:spacing w:line="360" w:lineRule="auto"/>
        <w:jc w:val="both"/>
        <w:rPr>
          <w:rFonts w:ascii="Arial" w:hAnsi="Arial" w:cs="Arial"/>
          <w:sz w:val="22"/>
        </w:rPr>
      </w:pPr>
      <w:r>
        <w:rPr>
          <w:rFonts w:ascii="Arial" w:hAnsi="Arial" w:cs="Arial"/>
          <w:sz w:val="22"/>
        </w:rPr>
        <w:t>le coût des opérations de recherche sous-traitées à des organismes publiques ou privés mais qui sont agrées par le ministre de la recherche.</w:t>
      </w:r>
    </w:p>
    <w:p w:rsidR="00AA2C82" w:rsidRDefault="00DF751D">
      <w:pPr>
        <w:numPr>
          <w:ilvl w:val="0"/>
          <w:numId w:val="2"/>
        </w:numPr>
        <w:spacing w:line="360" w:lineRule="auto"/>
        <w:jc w:val="both"/>
        <w:rPr>
          <w:rFonts w:ascii="Arial" w:hAnsi="Arial" w:cs="Arial"/>
          <w:sz w:val="22"/>
        </w:rPr>
      </w:pPr>
      <w:r>
        <w:rPr>
          <w:rFonts w:ascii="Arial" w:hAnsi="Arial" w:cs="Arial"/>
          <w:sz w:val="22"/>
        </w:rPr>
        <w:t>les frais de prise et de maintenance des brevets.</w:t>
      </w:r>
    </w:p>
    <w:p w:rsidR="00AA2C82" w:rsidRDefault="00DF751D">
      <w:pPr>
        <w:pStyle w:val="BodyTextIndent2"/>
      </w:pPr>
      <w:r>
        <w:t>III – Les conséquences de l’existence d’immobilisations incorporelles non amorties pour la distribution de dividendes</w:t>
      </w:r>
    </w:p>
    <w:p w:rsidR="00AA2C82" w:rsidRDefault="00DF751D">
      <w:pPr>
        <w:spacing w:line="360" w:lineRule="auto"/>
        <w:jc w:val="both"/>
        <w:rPr>
          <w:rFonts w:ascii="Arial" w:hAnsi="Arial" w:cs="Arial"/>
          <w:sz w:val="22"/>
        </w:rPr>
      </w:pPr>
      <w:r>
        <w:rPr>
          <w:rFonts w:ascii="Arial" w:hAnsi="Arial" w:cs="Arial"/>
          <w:sz w:val="22"/>
          <w:u w:val="single"/>
        </w:rPr>
        <w:t>Frais d’établissement et frais de R&amp;D non amortis</w:t>
      </w:r>
      <w:r>
        <w:rPr>
          <w:rFonts w:ascii="Arial" w:hAnsi="Arial" w:cs="Arial"/>
          <w:sz w:val="22"/>
        </w:rPr>
        <w:t xml:space="preserve"> : </w:t>
      </w:r>
      <w:r>
        <w:rPr>
          <w:rFonts w:ascii="Arial" w:hAnsi="Arial" w:cs="Arial"/>
          <w:b/>
          <w:bCs/>
          <w:sz w:val="22"/>
        </w:rPr>
        <w:t>pas de distribution de dividende</w:t>
      </w:r>
      <w:r>
        <w:rPr>
          <w:rFonts w:ascii="Arial" w:hAnsi="Arial" w:cs="Arial"/>
          <w:sz w:val="22"/>
        </w:rPr>
        <w:t xml:space="preserve"> de possible </w:t>
      </w:r>
      <w:r>
        <w:rPr>
          <w:rFonts w:ascii="Arial" w:hAnsi="Arial" w:cs="Arial"/>
          <w:b/>
          <w:bCs/>
          <w:sz w:val="22"/>
        </w:rPr>
        <w:t>sauf si le montant des réserves libres</w:t>
      </w:r>
      <w:r>
        <w:rPr>
          <w:rFonts w:ascii="Arial" w:hAnsi="Arial" w:cs="Arial"/>
          <w:sz w:val="22"/>
        </w:rPr>
        <w:t xml:space="preserve"> </w:t>
      </w:r>
      <w:proofErr w:type="gramStart"/>
      <w:r>
        <w:rPr>
          <w:rFonts w:ascii="Arial" w:hAnsi="Arial" w:cs="Arial"/>
          <w:sz w:val="22"/>
        </w:rPr>
        <w:t>( =</w:t>
      </w:r>
      <w:proofErr w:type="gramEnd"/>
      <w:r>
        <w:rPr>
          <w:rFonts w:ascii="Arial" w:hAnsi="Arial" w:cs="Arial"/>
          <w:sz w:val="22"/>
        </w:rPr>
        <w:t xml:space="preserve"> autres réserves, primes liées au capital, RAN, QP de résultat et réserves réglementées telle que la réserve spéciale des PVLT non imposée) </w:t>
      </w:r>
      <w:r>
        <w:rPr>
          <w:rFonts w:ascii="Arial" w:hAnsi="Arial" w:cs="Arial"/>
          <w:b/>
          <w:bCs/>
          <w:sz w:val="22"/>
        </w:rPr>
        <w:t>est au moins égal au montant de ces frais non amortis</w:t>
      </w:r>
      <w:r>
        <w:rPr>
          <w:rFonts w:ascii="Arial" w:hAnsi="Arial" w:cs="Arial"/>
          <w:sz w:val="22"/>
        </w:rPr>
        <w:t xml:space="preserve">. </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sz w:val="22"/>
        </w:rPr>
      </w:pPr>
      <w:r>
        <w:rPr>
          <w:rFonts w:ascii="Arial" w:hAnsi="Arial" w:cs="Arial"/>
          <w:sz w:val="22"/>
          <w:u w:val="single"/>
        </w:rPr>
        <w:lastRenderedPageBreak/>
        <w:t>Frais de constitution</w:t>
      </w:r>
      <w:r>
        <w:rPr>
          <w:rFonts w:ascii="Arial" w:hAnsi="Arial" w:cs="Arial"/>
          <w:sz w:val="22"/>
        </w:rPr>
        <w:t xml:space="preserve"> : ils </w:t>
      </w:r>
      <w:r>
        <w:rPr>
          <w:rFonts w:ascii="Arial" w:hAnsi="Arial" w:cs="Arial"/>
          <w:b/>
          <w:bCs/>
          <w:sz w:val="22"/>
        </w:rPr>
        <w:t>doivent absolument être amortis</w:t>
      </w:r>
      <w:r>
        <w:rPr>
          <w:rFonts w:ascii="Arial" w:hAnsi="Arial" w:cs="Arial"/>
          <w:sz w:val="22"/>
        </w:rPr>
        <w:t xml:space="preserve"> pour pouvoir distribuer des dividendes. Possibilité de faire un amortissement exceptionnel.</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color w:val="FF00FF"/>
        </w:rPr>
      </w:pPr>
      <w:r>
        <w:rPr>
          <w:rFonts w:ascii="Arial" w:hAnsi="Arial" w:cs="Arial"/>
          <w:sz w:val="22"/>
        </w:rPr>
        <w:tab/>
      </w:r>
      <w:r>
        <w:rPr>
          <w:rFonts w:ascii="Arial" w:hAnsi="Arial" w:cs="Arial"/>
          <w:sz w:val="22"/>
        </w:rPr>
        <w:tab/>
      </w:r>
      <w:r>
        <w:rPr>
          <w:rFonts w:ascii="Arial" w:hAnsi="Arial" w:cs="Arial"/>
          <w:color w:val="FF00FF"/>
        </w:rPr>
        <w:t>IV – Les logiciels (à usage interne)</w:t>
      </w:r>
    </w:p>
    <w:p w:rsidR="00AA2C82" w:rsidRDefault="00DF751D">
      <w:pPr>
        <w:spacing w:line="360" w:lineRule="auto"/>
        <w:jc w:val="both"/>
        <w:rPr>
          <w:rFonts w:ascii="Arial" w:hAnsi="Arial" w:cs="Arial"/>
          <w:sz w:val="22"/>
        </w:rPr>
      </w:pPr>
      <w:r>
        <w:rPr>
          <w:rFonts w:ascii="Arial" w:hAnsi="Arial" w:cs="Arial"/>
          <w:sz w:val="22"/>
        </w:rPr>
        <w:t xml:space="preserve">Pour immobiliser un logiciel, il faut qu’il ait de </w:t>
      </w:r>
      <w:r>
        <w:rPr>
          <w:rFonts w:ascii="Arial" w:hAnsi="Arial" w:cs="Arial"/>
          <w:b/>
          <w:bCs/>
          <w:sz w:val="22"/>
        </w:rPr>
        <w:t>sérieuses chances de réussir</w:t>
      </w:r>
      <w:r>
        <w:rPr>
          <w:rFonts w:ascii="Arial" w:hAnsi="Arial" w:cs="Arial"/>
          <w:sz w:val="22"/>
        </w:rPr>
        <w:t xml:space="preserve"> et que l’entreprise affiche clairement son </w:t>
      </w:r>
      <w:r>
        <w:rPr>
          <w:rFonts w:ascii="Arial" w:hAnsi="Arial" w:cs="Arial"/>
          <w:b/>
          <w:bCs/>
          <w:sz w:val="22"/>
        </w:rPr>
        <w:t>intention de produire le logiciel</w:t>
      </w:r>
      <w:r>
        <w:rPr>
          <w:rFonts w:ascii="Arial" w:hAnsi="Arial" w:cs="Arial"/>
          <w:sz w:val="22"/>
        </w:rPr>
        <w:t xml:space="preserve"> </w:t>
      </w:r>
      <w:r>
        <w:rPr>
          <w:rFonts w:ascii="Arial" w:hAnsi="Arial" w:cs="Arial"/>
          <w:b/>
          <w:bCs/>
          <w:sz w:val="22"/>
        </w:rPr>
        <w:t>et de s’en servir durablement.</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sz w:val="22"/>
        </w:rPr>
      </w:pPr>
      <w:r>
        <w:rPr>
          <w:rFonts w:ascii="Arial" w:hAnsi="Arial" w:cs="Arial"/>
          <w:sz w:val="22"/>
          <w:u w:val="single"/>
        </w:rPr>
        <w:t>Comptabilisation </w:t>
      </w:r>
      <w:r>
        <w:rPr>
          <w:rFonts w:ascii="Arial" w:hAnsi="Arial" w:cs="Arial"/>
          <w:sz w:val="22"/>
        </w:rPr>
        <w:t xml:space="preserve">: </w:t>
      </w:r>
    </w:p>
    <w:p w:rsidR="00AA2C82" w:rsidRDefault="00DF751D">
      <w:pPr>
        <w:numPr>
          <w:ilvl w:val="0"/>
          <w:numId w:val="2"/>
        </w:numPr>
        <w:spacing w:line="360" w:lineRule="auto"/>
        <w:jc w:val="both"/>
        <w:rPr>
          <w:rFonts w:ascii="Arial" w:hAnsi="Arial" w:cs="Arial"/>
          <w:sz w:val="22"/>
        </w:rPr>
      </w:pPr>
      <w:r>
        <w:rPr>
          <w:rFonts w:ascii="Arial" w:hAnsi="Arial" w:cs="Arial"/>
          <w:b/>
          <w:bCs/>
          <w:sz w:val="22"/>
        </w:rPr>
        <w:t>logiciel acquis</w:t>
      </w:r>
      <w:r>
        <w:rPr>
          <w:rFonts w:ascii="Arial" w:hAnsi="Arial" w:cs="Arial"/>
          <w:sz w:val="22"/>
        </w:rPr>
        <w:t> : passe directement dans un compte d’immobilisation</w:t>
      </w:r>
    </w:p>
    <w:p w:rsidR="00AA2C82" w:rsidRDefault="00DF751D">
      <w:pPr>
        <w:numPr>
          <w:ilvl w:val="0"/>
          <w:numId w:val="2"/>
        </w:numPr>
        <w:spacing w:line="360" w:lineRule="auto"/>
        <w:jc w:val="both"/>
        <w:rPr>
          <w:rFonts w:ascii="Arial" w:hAnsi="Arial" w:cs="Arial"/>
          <w:sz w:val="22"/>
        </w:rPr>
      </w:pPr>
      <w:r>
        <w:rPr>
          <w:rFonts w:ascii="Arial" w:hAnsi="Arial" w:cs="Arial"/>
          <w:b/>
          <w:bCs/>
          <w:sz w:val="22"/>
        </w:rPr>
        <w:t>logiciel crée</w:t>
      </w:r>
      <w:r>
        <w:rPr>
          <w:rFonts w:ascii="Arial" w:hAnsi="Arial" w:cs="Arial"/>
          <w:sz w:val="22"/>
        </w:rPr>
        <w:t> : comptabilisé dans les comptes de charges par nature et dès qu’il répond aux critères, on l’immobilise.</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sz w:val="22"/>
        </w:rPr>
      </w:pPr>
      <w:r>
        <w:rPr>
          <w:rFonts w:ascii="Arial" w:hAnsi="Arial" w:cs="Arial"/>
          <w:sz w:val="22"/>
          <w:u w:val="single"/>
        </w:rPr>
        <w:t>Amortissement </w:t>
      </w:r>
      <w:r>
        <w:rPr>
          <w:rFonts w:ascii="Arial" w:hAnsi="Arial" w:cs="Arial"/>
          <w:sz w:val="22"/>
        </w:rPr>
        <w:t xml:space="preserve">: </w:t>
      </w:r>
      <w:r>
        <w:rPr>
          <w:rFonts w:ascii="Arial" w:hAnsi="Arial" w:cs="Arial"/>
          <w:b/>
          <w:bCs/>
          <w:sz w:val="22"/>
        </w:rPr>
        <w:t>entre 2 ans et la durée probable pendant laquelle le logiciel répondra aux besoins de l’entreprise</w:t>
      </w:r>
      <w:r>
        <w:rPr>
          <w:rFonts w:ascii="Arial" w:hAnsi="Arial" w:cs="Arial"/>
          <w:sz w:val="22"/>
        </w:rPr>
        <w:t>. La date de départ est à compter de l’exploitation du logiciel.</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sz w:val="22"/>
        </w:rPr>
      </w:pPr>
      <w:r>
        <w:rPr>
          <w:rFonts w:ascii="Arial" w:hAnsi="Arial" w:cs="Arial"/>
          <w:sz w:val="22"/>
          <w:u w:val="single"/>
        </w:rPr>
        <w:t>Fiscalité</w:t>
      </w:r>
      <w:r>
        <w:rPr>
          <w:rFonts w:ascii="Arial" w:hAnsi="Arial" w:cs="Arial"/>
          <w:sz w:val="22"/>
        </w:rPr>
        <w:t xml:space="preserve"> : </w:t>
      </w:r>
    </w:p>
    <w:p w:rsidR="00AA2C82" w:rsidRDefault="00DF751D">
      <w:pPr>
        <w:numPr>
          <w:ilvl w:val="0"/>
          <w:numId w:val="2"/>
        </w:numPr>
        <w:spacing w:line="360" w:lineRule="auto"/>
        <w:jc w:val="both"/>
        <w:rPr>
          <w:rFonts w:ascii="Arial" w:hAnsi="Arial" w:cs="Arial"/>
          <w:sz w:val="22"/>
        </w:rPr>
      </w:pPr>
      <w:r>
        <w:rPr>
          <w:rFonts w:ascii="Arial" w:hAnsi="Arial" w:cs="Arial"/>
          <w:b/>
          <w:bCs/>
          <w:sz w:val="22"/>
        </w:rPr>
        <w:t>logiciels acquis</w:t>
      </w:r>
      <w:r>
        <w:rPr>
          <w:rFonts w:ascii="Arial" w:hAnsi="Arial" w:cs="Arial"/>
          <w:sz w:val="22"/>
        </w:rPr>
        <w:t> : amortis sur 12 mois</w:t>
      </w:r>
    </w:p>
    <w:p w:rsidR="00AA2C82" w:rsidRDefault="00DF751D">
      <w:pPr>
        <w:numPr>
          <w:ilvl w:val="0"/>
          <w:numId w:val="2"/>
        </w:numPr>
        <w:spacing w:line="360" w:lineRule="auto"/>
        <w:jc w:val="both"/>
        <w:rPr>
          <w:rFonts w:ascii="Arial" w:hAnsi="Arial" w:cs="Arial"/>
          <w:sz w:val="22"/>
        </w:rPr>
      </w:pPr>
      <w:r>
        <w:rPr>
          <w:rFonts w:ascii="Arial" w:hAnsi="Arial" w:cs="Arial"/>
          <w:b/>
          <w:bCs/>
          <w:sz w:val="22"/>
        </w:rPr>
        <w:t>logiciels crées</w:t>
      </w:r>
      <w:r>
        <w:rPr>
          <w:rFonts w:ascii="Arial" w:hAnsi="Arial" w:cs="Arial"/>
          <w:sz w:val="22"/>
        </w:rPr>
        <w:t> : suivent la règle comptable</w:t>
      </w:r>
    </w:p>
    <w:p w:rsidR="00AA2C82" w:rsidRDefault="00AA2C82">
      <w:pPr>
        <w:spacing w:line="360" w:lineRule="auto"/>
        <w:jc w:val="both"/>
        <w:rPr>
          <w:rFonts w:ascii="Arial" w:hAnsi="Arial" w:cs="Arial"/>
          <w:b/>
          <w:bCs/>
          <w:sz w:val="22"/>
        </w:rPr>
      </w:pPr>
    </w:p>
    <w:p w:rsidR="00AA2C82" w:rsidRDefault="00DF751D">
      <w:pPr>
        <w:pStyle w:val="Heading2"/>
        <w:ind w:firstLine="708"/>
        <w:rPr>
          <w:color w:val="FF00FF"/>
          <w:sz w:val="28"/>
        </w:rPr>
      </w:pPr>
      <w:r>
        <w:rPr>
          <w:color w:val="FF00FF"/>
          <w:sz w:val="28"/>
        </w:rPr>
        <w:t>Section 2 : Les charges à répartir</w:t>
      </w:r>
    </w:p>
    <w:p w:rsidR="00AA2C82" w:rsidRDefault="00DF751D">
      <w:pPr>
        <w:spacing w:line="360" w:lineRule="auto"/>
        <w:jc w:val="both"/>
        <w:rPr>
          <w:rFonts w:ascii="Arial" w:hAnsi="Arial" w:cs="Arial"/>
          <w:color w:val="FF00FF"/>
        </w:rPr>
      </w:pPr>
      <w:r>
        <w:rPr>
          <w:rFonts w:ascii="Arial" w:hAnsi="Arial" w:cs="Arial"/>
          <w:sz w:val="22"/>
        </w:rPr>
        <w:tab/>
      </w:r>
      <w:r>
        <w:rPr>
          <w:rFonts w:ascii="Arial" w:hAnsi="Arial" w:cs="Arial"/>
          <w:sz w:val="22"/>
        </w:rPr>
        <w:tab/>
      </w:r>
      <w:r>
        <w:rPr>
          <w:rFonts w:ascii="Arial" w:hAnsi="Arial" w:cs="Arial"/>
          <w:color w:val="FF00FF"/>
        </w:rPr>
        <w:t>I – Les charges à répartir existantes à partir du 1/1/05</w:t>
      </w:r>
    </w:p>
    <w:p w:rsidR="00AA2C82" w:rsidRDefault="00DF751D">
      <w:pPr>
        <w:spacing w:line="360" w:lineRule="auto"/>
        <w:jc w:val="both"/>
        <w:rPr>
          <w:rFonts w:ascii="Arial" w:hAnsi="Arial" w:cs="Arial"/>
          <w:sz w:val="22"/>
        </w:rPr>
      </w:pPr>
      <w:r>
        <w:rPr>
          <w:rFonts w:ascii="Arial" w:hAnsi="Arial" w:cs="Arial"/>
          <w:sz w:val="22"/>
          <w:u w:val="single"/>
        </w:rPr>
        <w:t>Comptabilisation </w:t>
      </w:r>
      <w:r>
        <w:rPr>
          <w:rFonts w:ascii="Arial" w:hAnsi="Arial" w:cs="Arial"/>
          <w:sz w:val="22"/>
        </w:rPr>
        <w:t xml:space="preserve">: il faut </w:t>
      </w:r>
      <w:r>
        <w:rPr>
          <w:rFonts w:ascii="Arial" w:hAnsi="Arial" w:cs="Arial"/>
          <w:b/>
          <w:bCs/>
          <w:sz w:val="22"/>
        </w:rPr>
        <w:t>les solder</w:t>
      </w:r>
      <w:r>
        <w:rPr>
          <w:rFonts w:ascii="Arial" w:hAnsi="Arial" w:cs="Arial"/>
          <w:sz w:val="22"/>
        </w:rPr>
        <w:t xml:space="preserve"> car on considère que ce sont des charges sans valeur. :</w:t>
      </w:r>
    </w:p>
    <w:p w:rsidR="00AA2C82" w:rsidRDefault="00DF751D">
      <w:pPr>
        <w:numPr>
          <w:ilvl w:val="0"/>
          <w:numId w:val="2"/>
        </w:numPr>
        <w:spacing w:line="360" w:lineRule="auto"/>
        <w:jc w:val="both"/>
        <w:rPr>
          <w:rFonts w:ascii="Arial" w:hAnsi="Arial" w:cs="Arial"/>
          <w:sz w:val="22"/>
        </w:rPr>
      </w:pPr>
      <w:r>
        <w:rPr>
          <w:rFonts w:ascii="Arial" w:hAnsi="Arial" w:cs="Arial"/>
          <w:b/>
          <w:bCs/>
          <w:sz w:val="22"/>
        </w:rPr>
        <w:t>soit directement par les capitaux propres</w:t>
      </w:r>
      <w:r>
        <w:rPr>
          <w:rFonts w:ascii="Arial" w:hAnsi="Arial" w:cs="Arial"/>
          <w:sz w:val="22"/>
        </w:rPr>
        <w:t> : on utilise un compte de réserves ou de RAN (119 à 106 ou 481)</w:t>
      </w:r>
    </w:p>
    <w:p w:rsidR="00AA2C82" w:rsidRDefault="00DF751D">
      <w:pPr>
        <w:numPr>
          <w:ilvl w:val="0"/>
          <w:numId w:val="2"/>
        </w:numPr>
        <w:spacing w:line="360" w:lineRule="auto"/>
        <w:jc w:val="both"/>
        <w:rPr>
          <w:rFonts w:ascii="Arial" w:hAnsi="Arial" w:cs="Arial"/>
          <w:sz w:val="22"/>
        </w:rPr>
      </w:pPr>
      <w:r>
        <w:rPr>
          <w:rFonts w:ascii="Arial" w:hAnsi="Arial" w:cs="Arial"/>
          <w:b/>
          <w:bCs/>
          <w:sz w:val="22"/>
        </w:rPr>
        <w:t>soit en considérant les CAR comme des immobilisations</w:t>
      </w:r>
      <w:r>
        <w:rPr>
          <w:rFonts w:ascii="Arial" w:hAnsi="Arial" w:cs="Arial"/>
          <w:sz w:val="22"/>
        </w:rPr>
        <w:t> : procure des avantages économiques futurs si on les passe directement dans le compte d’immobilisations concernées. (211 à 481)</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sz w:val="22"/>
        </w:rPr>
      </w:pPr>
      <w:r>
        <w:rPr>
          <w:rFonts w:ascii="Arial" w:hAnsi="Arial" w:cs="Arial"/>
          <w:sz w:val="22"/>
          <w:u w:val="single"/>
        </w:rPr>
        <w:t>Amortissements </w:t>
      </w:r>
      <w:r>
        <w:rPr>
          <w:rFonts w:ascii="Arial" w:hAnsi="Arial" w:cs="Arial"/>
          <w:sz w:val="22"/>
        </w:rPr>
        <w:t xml:space="preserve">: si on les a </w:t>
      </w:r>
      <w:r>
        <w:rPr>
          <w:rFonts w:ascii="Arial" w:hAnsi="Arial" w:cs="Arial"/>
          <w:b/>
          <w:bCs/>
          <w:sz w:val="22"/>
        </w:rPr>
        <w:t>comptabilisé en immobilisation</w:t>
      </w:r>
      <w:r>
        <w:rPr>
          <w:rFonts w:ascii="Arial" w:hAnsi="Arial" w:cs="Arial"/>
          <w:sz w:val="22"/>
        </w:rPr>
        <w:t xml:space="preserve">, on les </w:t>
      </w:r>
      <w:r>
        <w:rPr>
          <w:rFonts w:ascii="Arial" w:hAnsi="Arial" w:cs="Arial"/>
          <w:b/>
          <w:bCs/>
          <w:sz w:val="22"/>
        </w:rPr>
        <w:t>amorti au même rythme que l’immobilisation</w:t>
      </w:r>
      <w:r>
        <w:rPr>
          <w:rFonts w:ascii="Arial" w:hAnsi="Arial" w:cs="Arial"/>
          <w:sz w:val="22"/>
        </w:rPr>
        <w:t xml:space="preserve"> concerné sur la durée restante à courir.</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sz w:val="22"/>
        </w:rPr>
      </w:pPr>
      <w:r>
        <w:rPr>
          <w:rFonts w:ascii="Arial" w:hAnsi="Arial" w:cs="Arial"/>
          <w:sz w:val="22"/>
          <w:u w:val="single"/>
        </w:rPr>
        <w:t>Fiscalité</w:t>
      </w:r>
      <w:r>
        <w:rPr>
          <w:rFonts w:ascii="Arial" w:hAnsi="Arial" w:cs="Arial"/>
          <w:sz w:val="22"/>
        </w:rPr>
        <w:t xml:space="preserve"> : </w:t>
      </w:r>
    </w:p>
    <w:p w:rsidR="00AA2C82" w:rsidRDefault="00DF751D">
      <w:pPr>
        <w:numPr>
          <w:ilvl w:val="0"/>
          <w:numId w:val="2"/>
        </w:numPr>
        <w:spacing w:line="360" w:lineRule="auto"/>
        <w:jc w:val="both"/>
        <w:rPr>
          <w:rFonts w:ascii="Arial" w:hAnsi="Arial" w:cs="Arial"/>
          <w:sz w:val="22"/>
        </w:rPr>
      </w:pPr>
      <w:r>
        <w:rPr>
          <w:rFonts w:ascii="Arial" w:hAnsi="Arial" w:cs="Arial"/>
          <w:b/>
          <w:bCs/>
          <w:sz w:val="22"/>
        </w:rPr>
        <w:t>CAR purement et simplement annulées qui viennent en moins des capitaux propres</w:t>
      </w:r>
      <w:r>
        <w:rPr>
          <w:rFonts w:ascii="Arial" w:hAnsi="Arial" w:cs="Arial"/>
          <w:sz w:val="22"/>
        </w:rPr>
        <w:t xml:space="preserve"> : les CAR autres que les frais d’acquisition d’immobilisations étaient fiscalement déductibles l’année de leur engagement par voie </w:t>
      </w:r>
      <w:proofErr w:type="spellStart"/>
      <w:r>
        <w:rPr>
          <w:rFonts w:ascii="Arial" w:hAnsi="Arial" w:cs="Arial"/>
          <w:sz w:val="22"/>
        </w:rPr>
        <w:t>extra-comptable</w:t>
      </w:r>
      <w:proofErr w:type="spellEnd"/>
      <w:r>
        <w:rPr>
          <w:rFonts w:ascii="Arial" w:hAnsi="Arial" w:cs="Arial"/>
          <w:sz w:val="22"/>
        </w:rPr>
        <w:t xml:space="preserve"> et les DAP étaient réintégrées extra-comptablement.</w:t>
      </w:r>
    </w:p>
    <w:p w:rsidR="00AA2C82" w:rsidRDefault="00DF751D">
      <w:pPr>
        <w:numPr>
          <w:ilvl w:val="0"/>
          <w:numId w:val="2"/>
        </w:numPr>
        <w:spacing w:line="360" w:lineRule="auto"/>
        <w:jc w:val="both"/>
        <w:rPr>
          <w:rFonts w:ascii="Arial" w:hAnsi="Arial" w:cs="Arial"/>
          <w:sz w:val="22"/>
        </w:rPr>
      </w:pPr>
      <w:r>
        <w:rPr>
          <w:rFonts w:ascii="Arial" w:hAnsi="Arial" w:cs="Arial"/>
          <w:b/>
          <w:bCs/>
          <w:sz w:val="22"/>
        </w:rPr>
        <w:t>CAR portées en complément de l’immobilisation</w:t>
      </w:r>
      <w:r>
        <w:rPr>
          <w:rFonts w:ascii="Arial" w:hAnsi="Arial" w:cs="Arial"/>
          <w:sz w:val="22"/>
        </w:rPr>
        <w:t> : déduites à l’origine puis comptablement déductibles par le biais d’un complément d’immobilisation qui devra donc être réintégré fiscalement.</w:t>
      </w:r>
    </w:p>
    <w:p w:rsidR="00AA2C82" w:rsidRDefault="00AA2C82">
      <w:pPr>
        <w:spacing w:line="360" w:lineRule="auto"/>
        <w:jc w:val="both"/>
        <w:rPr>
          <w:rFonts w:ascii="Arial" w:hAnsi="Arial" w:cs="Arial"/>
          <w:sz w:val="22"/>
        </w:rPr>
      </w:pPr>
    </w:p>
    <w:p w:rsidR="00AA2C82" w:rsidRDefault="00DF751D">
      <w:pPr>
        <w:spacing w:line="360" w:lineRule="auto"/>
        <w:ind w:left="1416"/>
        <w:jc w:val="both"/>
        <w:rPr>
          <w:rFonts w:ascii="Arial" w:hAnsi="Arial" w:cs="Arial"/>
          <w:color w:val="FF00FF"/>
        </w:rPr>
      </w:pPr>
      <w:r>
        <w:rPr>
          <w:rFonts w:ascii="Arial" w:hAnsi="Arial" w:cs="Arial"/>
          <w:color w:val="FF00FF"/>
        </w:rPr>
        <w:t>II – Les nouvelles dépenses</w:t>
      </w:r>
    </w:p>
    <w:p w:rsidR="00AA2C82" w:rsidRDefault="00DF751D">
      <w:pPr>
        <w:spacing w:line="360" w:lineRule="auto"/>
        <w:jc w:val="both"/>
        <w:rPr>
          <w:rFonts w:ascii="Arial" w:hAnsi="Arial" w:cs="Arial"/>
          <w:sz w:val="22"/>
        </w:rPr>
      </w:pPr>
      <w:r>
        <w:rPr>
          <w:rFonts w:ascii="Arial" w:hAnsi="Arial" w:cs="Arial"/>
          <w:sz w:val="22"/>
          <w:u w:val="single"/>
        </w:rPr>
        <w:t>Comptabilisation</w:t>
      </w:r>
      <w:r>
        <w:rPr>
          <w:rFonts w:ascii="Arial" w:hAnsi="Arial" w:cs="Arial"/>
          <w:sz w:val="22"/>
        </w:rPr>
        <w:t xml:space="preserve"> : </w:t>
      </w:r>
    </w:p>
    <w:p w:rsidR="00AA2C82" w:rsidRDefault="00DF751D">
      <w:pPr>
        <w:numPr>
          <w:ilvl w:val="0"/>
          <w:numId w:val="2"/>
        </w:numPr>
        <w:spacing w:line="360" w:lineRule="auto"/>
        <w:jc w:val="both"/>
        <w:rPr>
          <w:rFonts w:ascii="Arial" w:hAnsi="Arial" w:cs="Arial"/>
          <w:b/>
          <w:bCs/>
          <w:sz w:val="22"/>
        </w:rPr>
      </w:pPr>
      <w:r>
        <w:rPr>
          <w:rFonts w:ascii="Arial" w:hAnsi="Arial" w:cs="Arial"/>
          <w:b/>
          <w:bCs/>
          <w:sz w:val="22"/>
        </w:rPr>
        <w:t>soit directement en charges</w:t>
      </w:r>
    </w:p>
    <w:p w:rsidR="00AA2C82" w:rsidRDefault="00DF751D">
      <w:pPr>
        <w:numPr>
          <w:ilvl w:val="0"/>
          <w:numId w:val="2"/>
        </w:numPr>
        <w:spacing w:line="360" w:lineRule="auto"/>
        <w:jc w:val="both"/>
        <w:rPr>
          <w:rFonts w:ascii="Arial" w:hAnsi="Arial" w:cs="Arial"/>
          <w:sz w:val="22"/>
        </w:rPr>
      </w:pPr>
      <w:r>
        <w:rPr>
          <w:rFonts w:ascii="Arial" w:hAnsi="Arial" w:cs="Arial"/>
          <w:b/>
          <w:bCs/>
          <w:sz w:val="22"/>
        </w:rPr>
        <w:t>soit directement dans un compte d’immobilisation</w:t>
      </w:r>
      <w:r>
        <w:rPr>
          <w:rFonts w:ascii="Arial" w:hAnsi="Arial" w:cs="Arial"/>
          <w:sz w:val="22"/>
        </w:rPr>
        <w:t xml:space="preserve"> si ce sont des frais liés à l’immobilisation</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sz w:val="22"/>
        </w:rPr>
      </w:pPr>
      <w:r>
        <w:rPr>
          <w:rFonts w:ascii="Arial" w:hAnsi="Arial" w:cs="Arial"/>
          <w:sz w:val="22"/>
          <w:u w:val="single"/>
        </w:rPr>
        <w:t>Amortissement</w:t>
      </w:r>
      <w:r>
        <w:rPr>
          <w:rFonts w:ascii="Arial" w:hAnsi="Arial" w:cs="Arial"/>
          <w:sz w:val="22"/>
        </w:rPr>
        <w:t xml:space="preserve"> : les frais liés à l’immobilisation sont amortis </w:t>
      </w:r>
      <w:r>
        <w:rPr>
          <w:rFonts w:ascii="Arial" w:hAnsi="Arial" w:cs="Arial"/>
          <w:b/>
          <w:bCs/>
          <w:sz w:val="22"/>
        </w:rPr>
        <w:t>au même rythme que celui de l’immobilisation.</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sz w:val="22"/>
        </w:rPr>
      </w:pPr>
      <w:r>
        <w:rPr>
          <w:rFonts w:ascii="Arial" w:hAnsi="Arial" w:cs="Arial"/>
          <w:sz w:val="22"/>
          <w:u w:val="single"/>
        </w:rPr>
        <w:t>Particularité</w:t>
      </w:r>
      <w:r>
        <w:rPr>
          <w:rFonts w:ascii="Arial" w:hAnsi="Arial" w:cs="Arial"/>
          <w:sz w:val="22"/>
        </w:rPr>
        <w:t> : il faut ventiler entre le prix du terrain et le prix de la construction. Logiquement, on devrait avoir l’obligation de ventiler ces frais. Le problème est qu’une partie des frais ne pourra être déductible fiscalement car le terrain ne s’amorti pas. La solution préconisée est donc de laisser ces frais d’acquisitions de l’immobilisation en charges. Toutefois, problème de présentation des comptes subsiste car cela viendra en moins des capitaux propres.</w:t>
      </w:r>
    </w:p>
    <w:p w:rsidR="00AA2C82" w:rsidRDefault="00AA2C82">
      <w:pPr>
        <w:spacing w:line="360" w:lineRule="auto"/>
        <w:jc w:val="both"/>
        <w:rPr>
          <w:rFonts w:ascii="Arial" w:hAnsi="Arial" w:cs="Arial"/>
          <w:sz w:val="22"/>
        </w:rPr>
      </w:pPr>
    </w:p>
    <w:p w:rsidR="00AA2C82" w:rsidRDefault="00DF751D">
      <w:pPr>
        <w:pStyle w:val="Heading3"/>
      </w:pPr>
      <w:r>
        <w:tab/>
        <w:t>Section 3 : Les primes de remboursement des obligations</w:t>
      </w:r>
    </w:p>
    <w:p w:rsidR="00AA2C82" w:rsidRDefault="00DF751D">
      <w:pPr>
        <w:spacing w:line="360" w:lineRule="auto"/>
        <w:jc w:val="both"/>
        <w:rPr>
          <w:rFonts w:ascii="Arial" w:hAnsi="Arial" w:cs="Arial"/>
          <w:sz w:val="22"/>
        </w:rPr>
      </w:pPr>
      <w:r>
        <w:rPr>
          <w:rFonts w:ascii="Arial" w:hAnsi="Arial" w:cs="Arial"/>
          <w:sz w:val="22"/>
        </w:rPr>
        <w:t xml:space="preserve">Un </w:t>
      </w:r>
      <w:r>
        <w:rPr>
          <w:rFonts w:ascii="Arial" w:hAnsi="Arial" w:cs="Arial"/>
          <w:b/>
          <w:bCs/>
          <w:sz w:val="22"/>
        </w:rPr>
        <w:t>emprunt obligataire</w:t>
      </w:r>
      <w:r>
        <w:rPr>
          <w:rFonts w:ascii="Arial" w:hAnsi="Arial" w:cs="Arial"/>
          <w:sz w:val="22"/>
        </w:rPr>
        <w:t xml:space="preserve"> est émis par une entreprise cotée qui émet des obligations à une valeur nominale, voir une valeur d’émission (</w:t>
      </w:r>
      <w:r>
        <w:rPr>
          <w:rFonts w:ascii="Arial" w:hAnsi="Arial" w:cs="Arial"/>
          <w:sz w:val="22"/>
        </w:rPr>
        <w:sym w:font="Symbol" w:char="F0A3"/>
      </w:r>
      <w:r>
        <w:rPr>
          <w:rFonts w:ascii="Arial" w:hAnsi="Arial" w:cs="Arial"/>
          <w:sz w:val="22"/>
        </w:rPr>
        <w:t xml:space="preserve"> valeur nominale). </w:t>
      </w:r>
    </w:p>
    <w:p w:rsidR="00AA2C82" w:rsidRDefault="00DF751D">
      <w:pPr>
        <w:spacing w:line="360" w:lineRule="auto"/>
        <w:jc w:val="both"/>
        <w:rPr>
          <w:rFonts w:ascii="Arial" w:hAnsi="Arial" w:cs="Arial"/>
          <w:sz w:val="22"/>
        </w:rPr>
      </w:pPr>
      <w:r>
        <w:rPr>
          <w:rFonts w:ascii="Arial" w:hAnsi="Arial" w:cs="Arial"/>
          <w:b/>
          <w:bCs/>
          <w:sz w:val="22"/>
        </w:rPr>
        <w:t>Lorsque la valeur de remboursement &gt; à la valeur nominale</w:t>
      </w:r>
      <w:r>
        <w:rPr>
          <w:rFonts w:ascii="Arial" w:hAnsi="Arial" w:cs="Arial"/>
          <w:sz w:val="22"/>
        </w:rPr>
        <w:t xml:space="preserve">, on dit qu’il y a une </w:t>
      </w:r>
      <w:r>
        <w:rPr>
          <w:rFonts w:ascii="Arial" w:hAnsi="Arial" w:cs="Arial"/>
          <w:b/>
          <w:bCs/>
          <w:sz w:val="22"/>
        </w:rPr>
        <w:t>prime de remboursement des obligations</w:t>
      </w:r>
      <w:r>
        <w:rPr>
          <w:rFonts w:ascii="Arial" w:hAnsi="Arial" w:cs="Arial"/>
          <w:sz w:val="22"/>
        </w:rPr>
        <w:t>.</w:t>
      </w:r>
    </w:p>
    <w:p w:rsidR="00AA2C82" w:rsidRDefault="00DF751D">
      <w:pPr>
        <w:spacing w:line="360" w:lineRule="auto"/>
        <w:jc w:val="both"/>
        <w:rPr>
          <w:rFonts w:ascii="Arial" w:hAnsi="Arial" w:cs="Arial"/>
          <w:sz w:val="22"/>
        </w:rPr>
      </w:pPr>
      <w:r>
        <w:rPr>
          <w:rFonts w:ascii="Arial" w:hAnsi="Arial" w:cs="Arial"/>
          <w:sz w:val="22"/>
        </w:rPr>
        <w:t>Prime de remboursement = (valeur de remboursement – valeur nominale) X Nb d’obligations</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sz w:val="22"/>
        </w:rPr>
      </w:pPr>
      <w:r>
        <w:rPr>
          <w:rFonts w:ascii="Arial" w:hAnsi="Arial" w:cs="Arial"/>
          <w:sz w:val="22"/>
          <w:u w:val="single"/>
        </w:rPr>
        <w:t>Comptabilisation</w:t>
      </w:r>
      <w:r>
        <w:rPr>
          <w:rFonts w:ascii="Arial" w:hAnsi="Arial" w:cs="Arial"/>
          <w:sz w:val="22"/>
        </w:rPr>
        <w:t> : 512 – Banque</w:t>
      </w:r>
    </w:p>
    <w:p w:rsidR="00AA2C82" w:rsidRDefault="00DF751D">
      <w:pPr>
        <w:spacing w:line="360" w:lineRule="auto"/>
        <w:jc w:val="both"/>
        <w:rPr>
          <w:rFonts w:ascii="Arial" w:hAnsi="Arial" w:cs="Arial"/>
          <w:sz w:val="22"/>
        </w:rPr>
      </w:pPr>
      <w:r>
        <w:rPr>
          <w:rFonts w:ascii="Arial" w:hAnsi="Arial" w:cs="Arial"/>
          <w:sz w:val="22"/>
        </w:rPr>
        <w:tab/>
      </w:r>
      <w:r>
        <w:rPr>
          <w:rFonts w:ascii="Arial" w:hAnsi="Arial" w:cs="Arial"/>
          <w:sz w:val="22"/>
        </w:rPr>
        <w:tab/>
        <w:t xml:space="preserve">       169 – Prime de remboursement des obligations</w:t>
      </w:r>
    </w:p>
    <w:p w:rsidR="00AA2C82" w:rsidRDefault="00DF751D">
      <w:pPr>
        <w:spacing w:line="360" w:lineRule="auto"/>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163 – Emprunt obligataire</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sz w:val="22"/>
        </w:rPr>
      </w:pPr>
      <w:r>
        <w:rPr>
          <w:rFonts w:ascii="Arial" w:hAnsi="Arial" w:cs="Arial"/>
          <w:sz w:val="22"/>
          <w:u w:val="single"/>
        </w:rPr>
        <w:t>Amortissement </w:t>
      </w:r>
      <w:r>
        <w:rPr>
          <w:rFonts w:ascii="Arial" w:hAnsi="Arial" w:cs="Arial"/>
          <w:sz w:val="22"/>
        </w:rPr>
        <w:t>: (6861 à 169)</w:t>
      </w:r>
    </w:p>
    <w:p w:rsidR="00AA2C82" w:rsidRDefault="00DF751D">
      <w:pPr>
        <w:numPr>
          <w:ilvl w:val="0"/>
          <w:numId w:val="2"/>
        </w:numPr>
        <w:spacing w:line="360" w:lineRule="auto"/>
        <w:jc w:val="both"/>
        <w:rPr>
          <w:rFonts w:ascii="Arial" w:hAnsi="Arial" w:cs="Arial"/>
          <w:sz w:val="22"/>
        </w:rPr>
      </w:pPr>
      <w:r>
        <w:rPr>
          <w:rFonts w:ascii="Arial" w:hAnsi="Arial" w:cs="Arial"/>
          <w:sz w:val="22"/>
        </w:rPr>
        <w:t xml:space="preserve">si la prime de remboursement est </w:t>
      </w:r>
      <w:r>
        <w:rPr>
          <w:rFonts w:ascii="Arial" w:hAnsi="Arial" w:cs="Arial"/>
          <w:sz w:val="22"/>
        </w:rPr>
        <w:sym w:font="Symbol" w:char="F0A3"/>
      </w:r>
      <w:r>
        <w:rPr>
          <w:rFonts w:ascii="Arial" w:hAnsi="Arial" w:cs="Arial"/>
          <w:sz w:val="22"/>
        </w:rPr>
        <w:t xml:space="preserve"> à 10% des sommes perçues par l’entreprise : </w:t>
      </w:r>
      <w:r>
        <w:rPr>
          <w:rFonts w:ascii="Arial" w:hAnsi="Arial" w:cs="Arial"/>
          <w:b/>
          <w:bCs/>
          <w:sz w:val="22"/>
        </w:rPr>
        <w:t>par fractions égales sur la durée de l’emprunt</w:t>
      </w:r>
      <w:r>
        <w:rPr>
          <w:rFonts w:ascii="Arial" w:hAnsi="Arial" w:cs="Arial"/>
          <w:sz w:val="22"/>
        </w:rPr>
        <w:t xml:space="preserve"> </w:t>
      </w:r>
    </w:p>
    <w:p w:rsidR="00AA2C82" w:rsidRDefault="00DF751D">
      <w:pPr>
        <w:numPr>
          <w:ilvl w:val="0"/>
          <w:numId w:val="2"/>
        </w:numPr>
        <w:spacing w:line="360" w:lineRule="auto"/>
        <w:jc w:val="both"/>
        <w:rPr>
          <w:rFonts w:ascii="Arial" w:hAnsi="Arial" w:cs="Arial"/>
          <w:sz w:val="22"/>
        </w:rPr>
      </w:pPr>
      <w:r>
        <w:rPr>
          <w:rFonts w:ascii="Arial" w:hAnsi="Arial" w:cs="Arial"/>
          <w:sz w:val="22"/>
        </w:rPr>
        <w:t xml:space="preserve">dans tous les autres cas : </w:t>
      </w:r>
      <w:r>
        <w:rPr>
          <w:rFonts w:ascii="Arial" w:hAnsi="Arial" w:cs="Arial"/>
          <w:b/>
          <w:bCs/>
          <w:sz w:val="22"/>
        </w:rPr>
        <w:t>au prorata des intérêts courus</w:t>
      </w:r>
      <w:r>
        <w:rPr>
          <w:rFonts w:ascii="Arial" w:hAnsi="Arial" w:cs="Arial"/>
          <w:sz w:val="22"/>
        </w:rPr>
        <w:t xml:space="preserve"> </w:t>
      </w:r>
    </w:p>
    <w:p w:rsidR="00AA2C82" w:rsidRDefault="00DF751D">
      <w:pPr>
        <w:spacing w:line="360" w:lineRule="auto"/>
        <w:jc w:val="center"/>
        <w:rPr>
          <w:rFonts w:ascii="Arial" w:hAnsi="Arial" w:cs="Arial"/>
          <w:color w:val="FF00FF"/>
          <w:sz w:val="36"/>
        </w:rPr>
      </w:pPr>
      <w:r>
        <w:rPr>
          <w:rFonts w:ascii="Arial" w:hAnsi="Arial" w:cs="Arial"/>
          <w:sz w:val="22"/>
        </w:rPr>
        <w:br w:type="page"/>
      </w:r>
      <w:r>
        <w:rPr>
          <w:rFonts w:ascii="Arial" w:hAnsi="Arial" w:cs="Arial"/>
          <w:color w:val="FF00FF"/>
          <w:sz w:val="36"/>
        </w:rPr>
        <w:lastRenderedPageBreak/>
        <w:t>Partie 5 : Le portefeuille titres</w:t>
      </w:r>
    </w:p>
    <w:p w:rsidR="00AA2C82" w:rsidRDefault="00AA2C82">
      <w:pPr>
        <w:spacing w:line="360" w:lineRule="auto"/>
        <w:jc w:val="both"/>
        <w:rPr>
          <w:rFonts w:ascii="Arial" w:hAnsi="Arial" w:cs="Arial"/>
          <w:sz w:val="22"/>
        </w:rPr>
      </w:pPr>
    </w:p>
    <w:p w:rsidR="00AA2C82" w:rsidRDefault="00DF751D">
      <w:pPr>
        <w:pStyle w:val="Heading1"/>
        <w:rPr>
          <w:b w:val="0"/>
          <w:bCs w:val="0"/>
          <w:color w:val="FF00FF"/>
        </w:rPr>
      </w:pPr>
      <w:r>
        <w:rPr>
          <w:b w:val="0"/>
          <w:bCs w:val="0"/>
          <w:color w:val="FF00FF"/>
        </w:rPr>
        <w:t>Chapitre 1 : Les différentes catégories de titres</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sz w:val="22"/>
        </w:rPr>
      </w:pPr>
      <w:r>
        <w:rPr>
          <w:rFonts w:ascii="Arial" w:hAnsi="Arial" w:cs="Arial"/>
          <w:sz w:val="22"/>
          <w:u w:val="single"/>
        </w:rPr>
        <w:t>Les titres de participation</w:t>
      </w:r>
      <w:r>
        <w:rPr>
          <w:rFonts w:ascii="Arial" w:hAnsi="Arial" w:cs="Arial"/>
          <w:sz w:val="22"/>
        </w:rPr>
        <w:t xml:space="preserve"> : ce sont des titres dont la </w:t>
      </w:r>
      <w:r>
        <w:rPr>
          <w:rFonts w:ascii="Arial" w:hAnsi="Arial" w:cs="Arial"/>
          <w:b/>
          <w:bCs/>
          <w:sz w:val="22"/>
        </w:rPr>
        <w:t>possession durable</w:t>
      </w:r>
      <w:r>
        <w:rPr>
          <w:rFonts w:ascii="Arial" w:hAnsi="Arial" w:cs="Arial"/>
          <w:sz w:val="22"/>
        </w:rPr>
        <w:t xml:space="preserve"> est </w:t>
      </w:r>
      <w:r>
        <w:rPr>
          <w:rFonts w:ascii="Arial" w:hAnsi="Arial" w:cs="Arial"/>
          <w:b/>
          <w:bCs/>
          <w:sz w:val="22"/>
        </w:rPr>
        <w:t>estimée utile à l’entreprise</w:t>
      </w:r>
      <w:r>
        <w:rPr>
          <w:rFonts w:ascii="Arial" w:hAnsi="Arial" w:cs="Arial"/>
          <w:sz w:val="22"/>
        </w:rPr>
        <w:t xml:space="preserve"> notamment parce qu’elle </w:t>
      </w:r>
      <w:r>
        <w:rPr>
          <w:rFonts w:ascii="Arial" w:hAnsi="Arial" w:cs="Arial"/>
          <w:b/>
          <w:bCs/>
          <w:sz w:val="22"/>
        </w:rPr>
        <w:t>permet d’exercer une influence sur la société émettrice des titres ou d’en assurer le contrôle</w:t>
      </w:r>
      <w:r>
        <w:rPr>
          <w:rFonts w:ascii="Arial" w:hAnsi="Arial" w:cs="Arial"/>
          <w:sz w:val="22"/>
        </w:rPr>
        <w:t>. (</w:t>
      </w:r>
      <w:proofErr w:type="gramStart"/>
      <w:r>
        <w:rPr>
          <w:rFonts w:ascii="Arial" w:hAnsi="Arial" w:cs="Arial"/>
          <w:sz w:val="22"/>
        </w:rPr>
        <w:t>compte</w:t>
      </w:r>
      <w:proofErr w:type="gramEnd"/>
      <w:r>
        <w:rPr>
          <w:rFonts w:ascii="Arial" w:hAnsi="Arial" w:cs="Arial"/>
          <w:sz w:val="22"/>
        </w:rPr>
        <w:t xml:space="preserve"> 261 à l’actif du bilan)</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sz w:val="22"/>
        </w:rPr>
      </w:pPr>
      <w:r>
        <w:rPr>
          <w:rFonts w:ascii="Arial" w:hAnsi="Arial" w:cs="Arial"/>
          <w:sz w:val="22"/>
          <w:u w:val="single"/>
        </w:rPr>
        <w:t>Les titres immobilisés de l’activité de portefeuille</w:t>
      </w:r>
      <w:r>
        <w:rPr>
          <w:rFonts w:ascii="Arial" w:hAnsi="Arial" w:cs="Arial"/>
          <w:sz w:val="22"/>
        </w:rPr>
        <w:t xml:space="preserve"> : le but est </w:t>
      </w:r>
      <w:r>
        <w:rPr>
          <w:rFonts w:ascii="Arial" w:hAnsi="Arial" w:cs="Arial"/>
          <w:b/>
          <w:bCs/>
          <w:sz w:val="22"/>
        </w:rPr>
        <w:t>d’obtenir une bonne rentabilité des titres</w:t>
      </w:r>
      <w:r>
        <w:rPr>
          <w:rFonts w:ascii="Arial" w:hAnsi="Arial" w:cs="Arial"/>
          <w:sz w:val="22"/>
        </w:rPr>
        <w:t xml:space="preserve"> sans pour cela avoir une influence sur les sociétés détenues. (</w:t>
      </w:r>
      <w:proofErr w:type="gramStart"/>
      <w:r>
        <w:rPr>
          <w:rFonts w:ascii="Arial" w:hAnsi="Arial" w:cs="Arial"/>
          <w:sz w:val="22"/>
        </w:rPr>
        <w:t>compte</w:t>
      </w:r>
      <w:proofErr w:type="gramEnd"/>
      <w:r>
        <w:rPr>
          <w:rFonts w:ascii="Arial" w:hAnsi="Arial" w:cs="Arial"/>
          <w:sz w:val="22"/>
        </w:rPr>
        <w:t xml:space="preserve"> 273 à l’actif du bilan).</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sz w:val="22"/>
        </w:rPr>
      </w:pPr>
      <w:r>
        <w:rPr>
          <w:rFonts w:ascii="Arial" w:hAnsi="Arial" w:cs="Arial"/>
          <w:sz w:val="22"/>
          <w:u w:val="single"/>
        </w:rPr>
        <w:t>Les autres titres immobilisés</w:t>
      </w:r>
      <w:r>
        <w:rPr>
          <w:rFonts w:ascii="Arial" w:hAnsi="Arial" w:cs="Arial"/>
          <w:sz w:val="22"/>
        </w:rPr>
        <w:t xml:space="preserve"> : ce sont des titres dont la </w:t>
      </w:r>
      <w:r>
        <w:rPr>
          <w:rFonts w:ascii="Arial" w:hAnsi="Arial" w:cs="Arial"/>
          <w:b/>
          <w:bCs/>
          <w:sz w:val="22"/>
        </w:rPr>
        <w:t>possession est durable</w:t>
      </w:r>
      <w:r>
        <w:rPr>
          <w:rFonts w:ascii="Arial" w:hAnsi="Arial" w:cs="Arial"/>
          <w:sz w:val="22"/>
        </w:rPr>
        <w:t xml:space="preserve"> mais dans ce cas, </w:t>
      </w:r>
      <w:r>
        <w:rPr>
          <w:rFonts w:ascii="Arial" w:hAnsi="Arial" w:cs="Arial"/>
          <w:b/>
          <w:bCs/>
          <w:sz w:val="22"/>
        </w:rPr>
        <w:t>on ne souhaite pas avoir une influence sur la société détenue</w:t>
      </w:r>
      <w:r>
        <w:rPr>
          <w:rFonts w:ascii="Arial" w:hAnsi="Arial" w:cs="Arial"/>
          <w:sz w:val="22"/>
        </w:rPr>
        <w:t>. (</w:t>
      </w:r>
      <w:proofErr w:type="gramStart"/>
      <w:r>
        <w:rPr>
          <w:rFonts w:ascii="Arial" w:hAnsi="Arial" w:cs="Arial"/>
          <w:sz w:val="22"/>
        </w:rPr>
        <w:t>compte</w:t>
      </w:r>
      <w:proofErr w:type="gramEnd"/>
      <w:r>
        <w:rPr>
          <w:rFonts w:ascii="Arial" w:hAnsi="Arial" w:cs="Arial"/>
          <w:sz w:val="22"/>
        </w:rPr>
        <w:t xml:space="preserve"> 271 à l’actif du bilan).</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sz w:val="22"/>
        </w:rPr>
      </w:pPr>
      <w:r>
        <w:rPr>
          <w:rFonts w:ascii="Arial" w:hAnsi="Arial" w:cs="Arial"/>
          <w:sz w:val="22"/>
          <w:u w:val="single"/>
        </w:rPr>
        <w:t>Les valeurs mobilières de placement</w:t>
      </w:r>
      <w:r>
        <w:rPr>
          <w:rFonts w:ascii="Arial" w:hAnsi="Arial" w:cs="Arial"/>
          <w:sz w:val="22"/>
        </w:rPr>
        <w:t xml:space="preserve"> (actions, obligations, bons de souscription, droits d’attribution et droits de souscription) : ce sont des </w:t>
      </w:r>
      <w:r>
        <w:rPr>
          <w:rFonts w:ascii="Arial" w:hAnsi="Arial" w:cs="Arial"/>
          <w:b/>
          <w:bCs/>
          <w:sz w:val="22"/>
        </w:rPr>
        <w:t>titres négociables</w:t>
      </w:r>
      <w:r>
        <w:rPr>
          <w:rFonts w:ascii="Arial" w:hAnsi="Arial" w:cs="Arial"/>
          <w:sz w:val="22"/>
        </w:rPr>
        <w:t xml:space="preserve"> (facilement cessibles) et </w:t>
      </w:r>
      <w:r>
        <w:rPr>
          <w:rFonts w:ascii="Arial" w:hAnsi="Arial" w:cs="Arial"/>
          <w:b/>
          <w:bCs/>
          <w:sz w:val="22"/>
        </w:rPr>
        <w:t>interchangeables</w:t>
      </w:r>
      <w:r>
        <w:rPr>
          <w:rFonts w:ascii="Arial" w:hAnsi="Arial" w:cs="Arial"/>
          <w:sz w:val="22"/>
        </w:rPr>
        <w:t xml:space="preserve"> (un titre vaut un titre) </w:t>
      </w:r>
      <w:r>
        <w:rPr>
          <w:rFonts w:ascii="Arial" w:hAnsi="Arial" w:cs="Arial"/>
          <w:b/>
          <w:bCs/>
          <w:sz w:val="22"/>
        </w:rPr>
        <w:t>émis par des sociétés par action</w:t>
      </w:r>
      <w:r>
        <w:rPr>
          <w:rFonts w:ascii="Arial" w:hAnsi="Arial" w:cs="Arial"/>
          <w:sz w:val="22"/>
        </w:rPr>
        <w:t xml:space="preserve"> (ne concerne pas SARL et SAS) et </w:t>
      </w:r>
      <w:r>
        <w:rPr>
          <w:rFonts w:ascii="Arial" w:hAnsi="Arial" w:cs="Arial"/>
          <w:b/>
          <w:bCs/>
          <w:sz w:val="22"/>
        </w:rPr>
        <w:t>cotés en Bourse ou susceptibles de l’être</w:t>
      </w:r>
      <w:r>
        <w:rPr>
          <w:rFonts w:ascii="Arial" w:hAnsi="Arial" w:cs="Arial"/>
          <w:sz w:val="22"/>
        </w:rPr>
        <w:t>. Ils sont acquis en vue de se constituer une trésorerie et d’obtenir des revenus à brève échéance. (</w:t>
      </w:r>
      <w:proofErr w:type="gramStart"/>
      <w:r>
        <w:rPr>
          <w:rFonts w:ascii="Arial" w:hAnsi="Arial" w:cs="Arial"/>
          <w:sz w:val="22"/>
        </w:rPr>
        <w:t>compte</w:t>
      </w:r>
      <w:proofErr w:type="gramEnd"/>
      <w:r>
        <w:rPr>
          <w:rFonts w:ascii="Arial" w:hAnsi="Arial" w:cs="Arial"/>
          <w:sz w:val="22"/>
        </w:rPr>
        <w:t xml:space="preserve"> 503 pour les actions et 508 pour les obligations).</w:t>
      </w:r>
    </w:p>
    <w:p w:rsidR="00AA2C82" w:rsidRDefault="00DF751D">
      <w:pPr>
        <w:spacing w:line="360" w:lineRule="auto"/>
        <w:jc w:val="both"/>
        <w:rPr>
          <w:rFonts w:ascii="Arial" w:hAnsi="Arial" w:cs="Arial"/>
          <w:color w:val="FF00FF"/>
          <w:sz w:val="32"/>
        </w:rPr>
      </w:pPr>
      <w:r>
        <w:rPr>
          <w:rFonts w:ascii="Arial" w:hAnsi="Arial" w:cs="Arial"/>
          <w:sz w:val="22"/>
        </w:rPr>
        <w:br w:type="page"/>
      </w:r>
      <w:r>
        <w:rPr>
          <w:rFonts w:ascii="Arial" w:hAnsi="Arial" w:cs="Arial"/>
          <w:color w:val="FF00FF"/>
          <w:sz w:val="32"/>
        </w:rPr>
        <w:lastRenderedPageBreak/>
        <w:t>Chapitre 2 : L’évaluation des titres</w:t>
      </w:r>
    </w:p>
    <w:p w:rsidR="00AA2C82" w:rsidRDefault="00DF751D">
      <w:pPr>
        <w:spacing w:line="360" w:lineRule="auto"/>
        <w:jc w:val="both"/>
        <w:rPr>
          <w:rFonts w:ascii="Arial" w:hAnsi="Arial" w:cs="Arial"/>
          <w:color w:val="FF00FF"/>
          <w:sz w:val="28"/>
        </w:rPr>
      </w:pPr>
      <w:r>
        <w:rPr>
          <w:rFonts w:ascii="Arial" w:hAnsi="Arial" w:cs="Arial"/>
          <w:sz w:val="22"/>
        </w:rPr>
        <w:tab/>
      </w:r>
      <w:r>
        <w:rPr>
          <w:rFonts w:ascii="Arial" w:hAnsi="Arial" w:cs="Arial"/>
          <w:color w:val="FF00FF"/>
          <w:sz w:val="28"/>
        </w:rPr>
        <w:t>Section 1 : Le coût d’évaluation à l’entrée dans le patrimoine</w:t>
      </w:r>
    </w:p>
    <w:p w:rsidR="00AA2C82" w:rsidRDefault="00DF751D">
      <w:pPr>
        <w:spacing w:line="360" w:lineRule="auto"/>
        <w:jc w:val="both"/>
        <w:rPr>
          <w:rFonts w:ascii="Arial" w:hAnsi="Arial" w:cs="Arial"/>
          <w:sz w:val="22"/>
        </w:rPr>
      </w:pPr>
      <w:r>
        <w:rPr>
          <w:rFonts w:ascii="Arial" w:hAnsi="Arial" w:cs="Arial"/>
          <w:sz w:val="22"/>
          <w:u w:val="single"/>
        </w:rPr>
        <w:t>Comptabilisation</w:t>
      </w:r>
      <w:r>
        <w:rPr>
          <w:rFonts w:ascii="Arial" w:hAnsi="Arial" w:cs="Arial"/>
          <w:sz w:val="22"/>
        </w:rPr>
        <w:t xml:space="preserve"> : </w:t>
      </w:r>
      <w:r>
        <w:rPr>
          <w:rFonts w:ascii="Arial" w:hAnsi="Arial" w:cs="Arial"/>
          <w:b/>
          <w:bCs/>
          <w:sz w:val="22"/>
        </w:rPr>
        <w:t>coût d’acquisition</w:t>
      </w:r>
      <w:r>
        <w:rPr>
          <w:rFonts w:ascii="Arial" w:hAnsi="Arial" w:cs="Arial"/>
          <w:sz w:val="22"/>
        </w:rPr>
        <w:t xml:space="preserve"> (= prix défini par les parties)</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sz w:val="22"/>
        </w:rPr>
      </w:pPr>
      <w:r>
        <w:rPr>
          <w:rFonts w:ascii="Arial" w:hAnsi="Arial" w:cs="Arial"/>
          <w:sz w:val="22"/>
          <w:u w:val="single"/>
        </w:rPr>
        <w:t>Particularité </w:t>
      </w:r>
      <w:r>
        <w:rPr>
          <w:rFonts w:ascii="Arial" w:hAnsi="Arial" w:cs="Arial"/>
          <w:sz w:val="22"/>
        </w:rPr>
        <w:t xml:space="preserve">: depuis le 1/1/05, les </w:t>
      </w:r>
      <w:r>
        <w:rPr>
          <w:rFonts w:ascii="Arial" w:hAnsi="Arial" w:cs="Arial"/>
          <w:b/>
          <w:bCs/>
          <w:sz w:val="22"/>
        </w:rPr>
        <w:t xml:space="preserve">frais d’acquisition </w:t>
      </w:r>
      <w:r>
        <w:rPr>
          <w:rFonts w:ascii="Arial" w:hAnsi="Arial" w:cs="Arial"/>
          <w:sz w:val="22"/>
        </w:rPr>
        <w:t>peuvent :</w:t>
      </w:r>
    </w:p>
    <w:p w:rsidR="00AA2C82" w:rsidRDefault="00DF751D">
      <w:pPr>
        <w:numPr>
          <w:ilvl w:val="0"/>
          <w:numId w:val="2"/>
        </w:numPr>
        <w:spacing w:line="360" w:lineRule="auto"/>
        <w:jc w:val="both"/>
        <w:rPr>
          <w:rFonts w:ascii="Arial" w:hAnsi="Arial" w:cs="Arial"/>
          <w:sz w:val="22"/>
        </w:rPr>
      </w:pPr>
      <w:r>
        <w:rPr>
          <w:rFonts w:ascii="Arial" w:hAnsi="Arial" w:cs="Arial"/>
          <w:b/>
          <w:bCs/>
          <w:sz w:val="22"/>
        </w:rPr>
        <w:t>être inclus dans le coût d’acquisition des titres</w:t>
      </w:r>
      <w:r>
        <w:rPr>
          <w:rFonts w:ascii="Arial" w:hAnsi="Arial" w:cs="Arial"/>
          <w:sz w:val="22"/>
        </w:rPr>
        <w:t xml:space="preserve"> mais ne pourront pas faire l’objet d’une déduction.</w:t>
      </w:r>
    </w:p>
    <w:p w:rsidR="00AA2C82" w:rsidRDefault="00DF751D">
      <w:pPr>
        <w:numPr>
          <w:ilvl w:val="0"/>
          <w:numId w:val="2"/>
        </w:numPr>
        <w:spacing w:line="360" w:lineRule="auto"/>
        <w:jc w:val="both"/>
        <w:rPr>
          <w:rFonts w:ascii="Arial" w:hAnsi="Arial" w:cs="Arial"/>
          <w:sz w:val="22"/>
        </w:rPr>
      </w:pPr>
      <w:r>
        <w:rPr>
          <w:rFonts w:ascii="Arial" w:hAnsi="Arial" w:cs="Arial"/>
          <w:b/>
          <w:bCs/>
          <w:sz w:val="22"/>
        </w:rPr>
        <w:t>laissés en charges l’année de leur engagement</w:t>
      </w:r>
      <w:r>
        <w:rPr>
          <w:rFonts w:ascii="Arial" w:hAnsi="Arial" w:cs="Arial"/>
          <w:sz w:val="22"/>
        </w:rPr>
        <w:t>.</w:t>
      </w:r>
    </w:p>
    <w:p w:rsidR="00AA2C82" w:rsidRDefault="00AA2C82">
      <w:pPr>
        <w:spacing w:line="360" w:lineRule="auto"/>
        <w:jc w:val="both"/>
        <w:rPr>
          <w:rFonts w:ascii="Arial" w:hAnsi="Arial" w:cs="Arial"/>
          <w:color w:val="FF00FF"/>
          <w:sz w:val="22"/>
        </w:rPr>
      </w:pPr>
    </w:p>
    <w:p w:rsidR="00AA2C82" w:rsidRDefault="00DF751D">
      <w:pPr>
        <w:pStyle w:val="Heading2"/>
        <w:ind w:firstLine="708"/>
      </w:pPr>
      <w:r>
        <w:rPr>
          <w:color w:val="FF00FF"/>
          <w:sz w:val="28"/>
        </w:rPr>
        <w:t>Section 2 : A l’inventaire</w:t>
      </w:r>
    </w:p>
    <w:p w:rsidR="00AA2C82" w:rsidRDefault="00DF751D">
      <w:pPr>
        <w:spacing w:line="360" w:lineRule="auto"/>
        <w:jc w:val="both"/>
        <w:rPr>
          <w:rFonts w:ascii="Arial" w:hAnsi="Arial" w:cs="Arial"/>
          <w:color w:val="FF00FF"/>
        </w:rPr>
      </w:pPr>
      <w:r>
        <w:rPr>
          <w:rFonts w:ascii="Arial" w:hAnsi="Arial" w:cs="Arial"/>
          <w:sz w:val="22"/>
        </w:rPr>
        <w:tab/>
      </w:r>
      <w:r>
        <w:rPr>
          <w:rFonts w:ascii="Arial" w:hAnsi="Arial" w:cs="Arial"/>
          <w:sz w:val="22"/>
        </w:rPr>
        <w:tab/>
      </w:r>
      <w:r>
        <w:rPr>
          <w:rFonts w:ascii="Arial" w:hAnsi="Arial" w:cs="Arial"/>
          <w:color w:val="FF00FF"/>
        </w:rPr>
        <w:t>I – Fixation de la méthode retenue dès l’acquisition des titres</w:t>
      </w:r>
    </w:p>
    <w:p w:rsidR="00AA2C82" w:rsidRDefault="00DF751D">
      <w:pPr>
        <w:spacing w:line="360" w:lineRule="auto"/>
        <w:jc w:val="both"/>
        <w:rPr>
          <w:rFonts w:ascii="Arial" w:hAnsi="Arial" w:cs="Arial"/>
          <w:sz w:val="22"/>
        </w:rPr>
      </w:pPr>
      <w:r>
        <w:rPr>
          <w:rFonts w:ascii="Arial" w:hAnsi="Arial" w:cs="Arial"/>
          <w:sz w:val="22"/>
          <w:u w:val="single"/>
        </w:rPr>
        <w:t>Titres de participation</w:t>
      </w:r>
      <w:r>
        <w:rPr>
          <w:rFonts w:ascii="Arial" w:hAnsi="Arial" w:cs="Arial"/>
          <w:sz w:val="22"/>
        </w:rPr>
        <w:t> : à chaque inventaire, il faut évaluer la valeur vénale des titres qui est</w:t>
      </w:r>
      <w:r>
        <w:rPr>
          <w:rFonts w:ascii="Arial" w:hAnsi="Arial" w:cs="Arial"/>
          <w:b/>
          <w:bCs/>
          <w:sz w:val="22"/>
        </w:rPr>
        <w:t xml:space="preserve"> donnée par la valeur d’usage</w:t>
      </w:r>
      <w:r>
        <w:rPr>
          <w:rFonts w:ascii="Arial" w:hAnsi="Arial" w:cs="Arial"/>
          <w:sz w:val="22"/>
        </w:rPr>
        <w:t>, c’est-à-dire le prix qu’un chef d’entreprise prudent et avisé accepterait de décaisser pour les acquérir.</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sz w:val="22"/>
        </w:rPr>
      </w:pPr>
      <w:r>
        <w:rPr>
          <w:rFonts w:ascii="Arial" w:hAnsi="Arial" w:cs="Arial"/>
          <w:sz w:val="22"/>
          <w:u w:val="single"/>
        </w:rPr>
        <w:t>VMP</w:t>
      </w:r>
      <w:r>
        <w:rPr>
          <w:rFonts w:ascii="Arial" w:hAnsi="Arial" w:cs="Arial"/>
          <w:sz w:val="22"/>
        </w:rPr>
        <w:t xml:space="preserve"> : la valeur vénale se détermine </w:t>
      </w:r>
      <w:r>
        <w:rPr>
          <w:rFonts w:ascii="Arial" w:hAnsi="Arial" w:cs="Arial"/>
          <w:b/>
          <w:bCs/>
          <w:sz w:val="22"/>
        </w:rPr>
        <w:t>en fonction de la valeur probable de négociation</w:t>
      </w:r>
      <w:r>
        <w:rPr>
          <w:rFonts w:ascii="Arial" w:hAnsi="Arial" w:cs="Arial"/>
          <w:sz w:val="22"/>
        </w:rPr>
        <w:t>. Pour les titres cotés, on retiendra le cours de Bourse moyen du mois précédent la clôture de la société détentrice des titres.</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color w:val="FF00FF"/>
        </w:rPr>
      </w:pPr>
      <w:r>
        <w:rPr>
          <w:rFonts w:ascii="Arial" w:hAnsi="Arial" w:cs="Arial"/>
          <w:sz w:val="22"/>
        </w:rPr>
        <w:tab/>
      </w:r>
      <w:r>
        <w:rPr>
          <w:rFonts w:ascii="Arial" w:hAnsi="Arial" w:cs="Arial"/>
          <w:sz w:val="22"/>
        </w:rPr>
        <w:tab/>
      </w:r>
      <w:r>
        <w:rPr>
          <w:rFonts w:ascii="Arial" w:hAnsi="Arial" w:cs="Arial"/>
          <w:color w:val="FF00FF"/>
        </w:rPr>
        <w:t>II – Les conséquences au niveau de l’arrêté des comptes</w:t>
      </w:r>
    </w:p>
    <w:p w:rsidR="00AA2C82" w:rsidRDefault="00DF751D">
      <w:pPr>
        <w:spacing w:line="360" w:lineRule="auto"/>
        <w:jc w:val="both"/>
        <w:rPr>
          <w:rFonts w:ascii="Arial" w:hAnsi="Arial" w:cs="Arial"/>
          <w:sz w:val="22"/>
        </w:rPr>
      </w:pPr>
      <w:r>
        <w:rPr>
          <w:rFonts w:ascii="Arial" w:hAnsi="Arial" w:cs="Arial"/>
          <w:sz w:val="22"/>
        </w:rPr>
        <w:t xml:space="preserve">A l’arrêté des comptes, on fait une </w:t>
      </w:r>
      <w:r>
        <w:rPr>
          <w:rFonts w:ascii="Arial" w:hAnsi="Arial" w:cs="Arial"/>
          <w:b/>
          <w:bCs/>
          <w:sz w:val="22"/>
        </w:rPr>
        <w:t>comparaison entre la valeur vénale et la valeur comptable par catégorie de titres de même nature </w:t>
      </w:r>
      <w:r>
        <w:rPr>
          <w:rFonts w:ascii="Arial" w:hAnsi="Arial" w:cs="Arial"/>
          <w:sz w:val="22"/>
        </w:rPr>
        <w:t>:</w:t>
      </w:r>
    </w:p>
    <w:p w:rsidR="00AA2C82" w:rsidRDefault="00DF751D">
      <w:pPr>
        <w:numPr>
          <w:ilvl w:val="0"/>
          <w:numId w:val="2"/>
        </w:numPr>
        <w:spacing w:line="360" w:lineRule="auto"/>
        <w:jc w:val="both"/>
        <w:rPr>
          <w:rFonts w:ascii="Arial" w:hAnsi="Arial" w:cs="Arial"/>
          <w:sz w:val="22"/>
        </w:rPr>
      </w:pPr>
      <w:r>
        <w:rPr>
          <w:rFonts w:ascii="Arial" w:hAnsi="Arial" w:cs="Arial"/>
          <w:b/>
          <w:bCs/>
          <w:sz w:val="22"/>
        </w:rPr>
        <w:t>si la valeur vénale &gt; valeur comptable</w:t>
      </w:r>
      <w:r>
        <w:rPr>
          <w:rFonts w:ascii="Arial" w:hAnsi="Arial" w:cs="Arial"/>
          <w:sz w:val="22"/>
        </w:rPr>
        <w:t xml:space="preserve"> : PV latente donc </w:t>
      </w:r>
      <w:r>
        <w:rPr>
          <w:rFonts w:ascii="Arial" w:hAnsi="Arial" w:cs="Arial"/>
          <w:b/>
          <w:bCs/>
          <w:sz w:val="22"/>
        </w:rPr>
        <w:t>rien à faire</w:t>
      </w:r>
      <w:r>
        <w:rPr>
          <w:rFonts w:ascii="Arial" w:hAnsi="Arial" w:cs="Arial"/>
          <w:sz w:val="22"/>
        </w:rPr>
        <w:t xml:space="preserve"> en compta</w:t>
      </w:r>
    </w:p>
    <w:p w:rsidR="00AA2C82" w:rsidRDefault="00DF751D">
      <w:pPr>
        <w:numPr>
          <w:ilvl w:val="0"/>
          <w:numId w:val="2"/>
        </w:numPr>
        <w:spacing w:line="360" w:lineRule="auto"/>
        <w:jc w:val="both"/>
        <w:rPr>
          <w:rFonts w:ascii="Arial" w:hAnsi="Arial" w:cs="Arial"/>
          <w:sz w:val="22"/>
        </w:rPr>
      </w:pPr>
      <w:r>
        <w:rPr>
          <w:rFonts w:ascii="Arial" w:hAnsi="Arial" w:cs="Arial"/>
          <w:b/>
          <w:bCs/>
          <w:sz w:val="22"/>
        </w:rPr>
        <w:t>si la valeur vénale &lt; valeur comptable</w:t>
      </w:r>
      <w:r>
        <w:rPr>
          <w:rFonts w:ascii="Arial" w:hAnsi="Arial" w:cs="Arial"/>
          <w:sz w:val="22"/>
        </w:rPr>
        <w:t xml:space="preserve"> : on passe une </w:t>
      </w:r>
      <w:r>
        <w:rPr>
          <w:rFonts w:ascii="Arial" w:hAnsi="Arial" w:cs="Arial"/>
          <w:b/>
          <w:bCs/>
          <w:sz w:val="22"/>
        </w:rPr>
        <w:t>provision pour dépréciation</w:t>
      </w:r>
      <w:r>
        <w:rPr>
          <w:rFonts w:ascii="Arial" w:hAnsi="Arial" w:cs="Arial"/>
          <w:sz w:val="22"/>
        </w:rPr>
        <w:t xml:space="preserve"> = à cette différence (principe de prudence).</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sz w:val="22"/>
        </w:rPr>
      </w:pPr>
      <w:r>
        <w:rPr>
          <w:rFonts w:ascii="Arial" w:hAnsi="Arial" w:cs="Arial"/>
          <w:sz w:val="22"/>
          <w:u w:val="single"/>
        </w:rPr>
        <w:t>Titres de participation</w:t>
      </w:r>
      <w:r>
        <w:rPr>
          <w:rFonts w:ascii="Arial" w:hAnsi="Arial" w:cs="Arial"/>
          <w:sz w:val="22"/>
        </w:rPr>
        <w:t xml:space="preserve"> : quand la valeur vénale &lt; valeur comptable </w:t>
      </w:r>
      <w:r>
        <w:rPr>
          <w:rFonts w:ascii="Arial" w:hAnsi="Arial" w:cs="Arial"/>
          <w:sz w:val="22"/>
        </w:rPr>
        <w:sym w:font="Symbol" w:char="F0DE"/>
      </w:r>
      <w:r>
        <w:rPr>
          <w:rFonts w:ascii="Arial" w:hAnsi="Arial" w:cs="Arial"/>
          <w:sz w:val="22"/>
        </w:rPr>
        <w:t xml:space="preserve"> provision (686 à 2961)</w:t>
      </w:r>
    </w:p>
    <w:p w:rsidR="00AA2C82" w:rsidRDefault="00DF751D">
      <w:pPr>
        <w:spacing w:line="360" w:lineRule="auto"/>
        <w:jc w:val="both"/>
        <w:rPr>
          <w:rFonts w:ascii="Arial" w:hAnsi="Arial" w:cs="Arial"/>
          <w:sz w:val="22"/>
        </w:rPr>
      </w:pPr>
      <w:r>
        <w:rPr>
          <w:rFonts w:ascii="Arial" w:hAnsi="Arial" w:cs="Arial"/>
          <w:sz w:val="22"/>
        </w:rPr>
        <w:t>Pour la reprise, 2961 à 786.</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sz w:val="22"/>
        </w:rPr>
      </w:pPr>
      <w:r>
        <w:rPr>
          <w:rFonts w:ascii="Arial" w:hAnsi="Arial" w:cs="Arial"/>
          <w:sz w:val="22"/>
          <w:u w:val="single"/>
        </w:rPr>
        <w:t>VMP </w:t>
      </w:r>
      <w:r>
        <w:rPr>
          <w:rFonts w:ascii="Arial" w:hAnsi="Arial" w:cs="Arial"/>
          <w:sz w:val="22"/>
        </w:rPr>
        <w:t xml:space="preserve">: quand la valeur vénale &lt; valeur comptable </w:t>
      </w:r>
      <w:r>
        <w:rPr>
          <w:rFonts w:ascii="Arial" w:hAnsi="Arial" w:cs="Arial"/>
          <w:sz w:val="22"/>
        </w:rPr>
        <w:sym w:font="Symbol" w:char="F0DE"/>
      </w:r>
      <w:r>
        <w:rPr>
          <w:rFonts w:ascii="Arial" w:hAnsi="Arial" w:cs="Arial"/>
          <w:sz w:val="22"/>
        </w:rPr>
        <w:t xml:space="preserve"> provision pour dépréciation (6866 à 5903) sauf si ce sont des titres cotés. Dans ce cas :</w:t>
      </w:r>
    </w:p>
    <w:p w:rsidR="00AA2C82" w:rsidRDefault="00DF751D">
      <w:pPr>
        <w:numPr>
          <w:ilvl w:val="0"/>
          <w:numId w:val="2"/>
        </w:numPr>
        <w:spacing w:line="360" w:lineRule="auto"/>
        <w:jc w:val="both"/>
        <w:rPr>
          <w:rFonts w:ascii="Arial" w:hAnsi="Arial" w:cs="Arial"/>
          <w:sz w:val="22"/>
        </w:rPr>
      </w:pPr>
      <w:r>
        <w:rPr>
          <w:rFonts w:ascii="Arial" w:hAnsi="Arial" w:cs="Arial"/>
          <w:sz w:val="22"/>
        </w:rPr>
        <w:t>on pourra faire une compensation entre ces différents titres cotés s’ils constituent une réserve de liquidité et qu’ils sont cotés de façon régulière sur un marché organisé.</w:t>
      </w:r>
    </w:p>
    <w:p w:rsidR="00AA2C82" w:rsidRDefault="00DF751D">
      <w:pPr>
        <w:numPr>
          <w:ilvl w:val="0"/>
          <w:numId w:val="2"/>
        </w:numPr>
        <w:spacing w:line="360" w:lineRule="auto"/>
        <w:jc w:val="both"/>
        <w:rPr>
          <w:rFonts w:ascii="Arial" w:hAnsi="Arial" w:cs="Arial"/>
          <w:sz w:val="22"/>
        </w:rPr>
      </w:pPr>
      <w:r>
        <w:rPr>
          <w:rFonts w:ascii="Arial" w:hAnsi="Arial" w:cs="Arial"/>
          <w:sz w:val="22"/>
        </w:rPr>
        <w:t>On peut éviter de constituer une provision si la MV résulte d’une baisse anormale et momentanée.</w:t>
      </w:r>
    </w:p>
    <w:p w:rsidR="00AA2C82" w:rsidRDefault="00DF751D">
      <w:pPr>
        <w:spacing w:line="360" w:lineRule="auto"/>
        <w:jc w:val="both"/>
        <w:rPr>
          <w:rFonts w:ascii="Arial" w:hAnsi="Arial" w:cs="Arial"/>
          <w:sz w:val="22"/>
        </w:rPr>
      </w:pPr>
      <w:r>
        <w:rPr>
          <w:rFonts w:ascii="Arial" w:hAnsi="Arial" w:cs="Arial"/>
          <w:sz w:val="22"/>
        </w:rPr>
        <w:t>Pour la reprise, 5903 à 7866.</w:t>
      </w:r>
    </w:p>
    <w:p w:rsidR="00AA2C82" w:rsidRDefault="00AA2C82">
      <w:pPr>
        <w:spacing w:line="360" w:lineRule="auto"/>
        <w:jc w:val="both"/>
        <w:rPr>
          <w:rFonts w:ascii="Arial" w:hAnsi="Arial" w:cs="Arial"/>
          <w:sz w:val="22"/>
        </w:rPr>
      </w:pPr>
    </w:p>
    <w:p w:rsidR="00AA2C82" w:rsidRDefault="00DF751D">
      <w:pPr>
        <w:spacing w:line="360" w:lineRule="auto"/>
        <w:ind w:firstLine="708"/>
        <w:jc w:val="both"/>
        <w:rPr>
          <w:rFonts w:ascii="Arial" w:hAnsi="Arial" w:cs="Arial"/>
          <w:color w:val="FF00FF"/>
          <w:sz w:val="28"/>
        </w:rPr>
      </w:pPr>
      <w:r>
        <w:rPr>
          <w:rFonts w:ascii="Arial" w:hAnsi="Arial" w:cs="Arial"/>
          <w:color w:val="FF00FF"/>
          <w:sz w:val="28"/>
        </w:rPr>
        <w:t>Section 3 </w:t>
      </w:r>
      <w:proofErr w:type="gramStart"/>
      <w:r>
        <w:rPr>
          <w:rFonts w:ascii="Arial" w:hAnsi="Arial" w:cs="Arial"/>
          <w:color w:val="FF00FF"/>
          <w:sz w:val="28"/>
        </w:rPr>
        <w:t>:  L’évaluation</w:t>
      </w:r>
      <w:proofErr w:type="gramEnd"/>
      <w:r>
        <w:rPr>
          <w:rFonts w:ascii="Arial" w:hAnsi="Arial" w:cs="Arial"/>
          <w:color w:val="FF00FF"/>
          <w:sz w:val="28"/>
        </w:rPr>
        <w:t xml:space="preserve"> à la sortie du patrimoine</w:t>
      </w:r>
    </w:p>
    <w:p w:rsidR="00AA2C82" w:rsidRDefault="00DF751D">
      <w:pPr>
        <w:spacing w:line="360" w:lineRule="auto"/>
        <w:jc w:val="both"/>
        <w:rPr>
          <w:rFonts w:ascii="Arial" w:hAnsi="Arial" w:cs="Arial"/>
          <w:sz w:val="22"/>
        </w:rPr>
      </w:pPr>
      <w:r>
        <w:rPr>
          <w:rFonts w:ascii="Arial" w:hAnsi="Arial" w:cs="Arial"/>
          <w:b/>
          <w:bCs/>
          <w:sz w:val="22"/>
        </w:rPr>
        <w:lastRenderedPageBreak/>
        <w:t xml:space="preserve">Comparaison du prix de cession avec le coût d’acquisition des titres. </w:t>
      </w:r>
      <w:r>
        <w:rPr>
          <w:rFonts w:ascii="Arial" w:hAnsi="Arial" w:cs="Arial"/>
          <w:sz w:val="22"/>
        </w:rPr>
        <w:t>La difficulté résulte lorsqu’il y a plusieurs lignes d’achat. Deux méthodes sont alors possibles : FIFO ou CUMP.</w:t>
      </w:r>
    </w:p>
    <w:p w:rsidR="00AA2C82" w:rsidRDefault="00DF751D">
      <w:pPr>
        <w:spacing w:line="360" w:lineRule="auto"/>
        <w:jc w:val="both"/>
        <w:rPr>
          <w:rFonts w:ascii="Arial" w:hAnsi="Arial" w:cs="Arial"/>
          <w:color w:val="FF00FF"/>
          <w:sz w:val="32"/>
        </w:rPr>
      </w:pPr>
      <w:r>
        <w:rPr>
          <w:rFonts w:ascii="Arial" w:hAnsi="Arial" w:cs="Arial"/>
          <w:sz w:val="22"/>
        </w:rPr>
        <w:br w:type="page"/>
      </w:r>
      <w:r>
        <w:rPr>
          <w:rFonts w:ascii="Arial" w:hAnsi="Arial" w:cs="Arial"/>
          <w:color w:val="FF00FF"/>
          <w:sz w:val="32"/>
        </w:rPr>
        <w:lastRenderedPageBreak/>
        <w:t>Chapitre 3 : Le traitement fiscal des titres</w:t>
      </w:r>
    </w:p>
    <w:p w:rsidR="00AA2C82" w:rsidRDefault="00DF751D">
      <w:pPr>
        <w:spacing w:line="360" w:lineRule="auto"/>
        <w:jc w:val="both"/>
        <w:rPr>
          <w:rFonts w:ascii="Arial" w:hAnsi="Arial" w:cs="Arial"/>
          <w:color w:val="FF00FF"/>
          <w:sz w:val="28"/>
        </w:rPr>
      </w:pPr>
      <w:r>
        <w:rPr>
          <w:rFonts w:ascii="Arial" w:hAnsi="Arial" w:cs="Arial"/>
          <w:sz w:val="22"/>
        </w:rPr>
        <w:tab/>
      </w:r>
      <w:r>
        <w:rPr>
          <w:rFonts w:ascii="Arial" w:hAnsi="Arial" w:cs="Arial"/>
          <w:color w:val="FF00FF"/>
          <w:sz w:val="28"/>
        </w:rPr>
        <w:t>Section 1 : Les différents régimes sur le plan fiscal</w:t>
      </w:r>
    </w:p>
    <w:p w:rsidR="00AA2C82" w:rsidRDefault="00DF751D">
      <w:pPr>
        <w:spacing w:line="360" w:lineRule="auto"/>
        <w:jc w:val="both"/>
        <w:rPr>
          <w:rFonts w:ascii="Arial" w:hAnsi="Arial" w:cs="Arial"/>
          <w:color w:val="FF00FF"/>
        </w:rPr>
      </w:pPr>
      <w:r>
        <w:rPr>
          <w:rFonts w:ascii="Arial" w:hAnsi="Arial" w:cs="Arial"/>
          <w:color w:val="FF00FF"/>
          <w:sz w:val="22"/>
        </w:rPr>
        <w:tab/>
      </w:r>
      <w:r>
        <w:rPr>
          <w:rFonts w:ascii="Arial" w:hAnsi="Arial" w:cs="Arial"/>
          <w:color w:val="FF00FF"/>
          <w:sz w:val="22"/>
        </w:rPr>
        <w:tab/>
      </w:r>
      <w:r>
        <w:rPr>
          <w:rFonts w:ascii="Arial" w:hAnsi="Arial" w:cs="Arial"/>
          <w:color w:val="FF00FF"/>
        </w:rPr>
        <w:t>I – Les titres relevant du régime des PVLT</w:t>
      </w:r>
    </w:p>
    <w:p w:rsidR="00AA2C82" w:rsidRDefault="00DF751D">
      <w:pPr>
        <w:spacing w:line="360" w:lineRule="auto"/>
        <w:jc w:val="both"/>
        <w:rPr>
          <w:rFonts w:ascii="Arial" w:hAnsi="Arial" w:cs="Arial"/>
          <w:color w:val="FF00FF"/>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color w:val="FF00FF"/>
          <w:sz w:val="22"/>
        </w:rPr>
        <w:t>A – Le taux d’imposition des PVLT</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0"/>
        <w:gridCol w:w="3960"/>
        <w:gridCol w:w="4140"/>
      </w:tblGrid>
      <w:tr w:rsidR="00AA2C82">
        <w:tc>
          <w:tcPr>
            <w:tcW w:w="1150" w:type="dxa"/>
          </w:tcPr>
          <w:p w:rsidR="00AA2C82" w:rsidRDefault="00AA2C82">
            <w:pPr>
              <w:spacing w:line="360" w:lineRule="auto"/>
              <w:jc w:val="both"/>
              <w:rPr>
                <w:rFonts w:ascii="Arial" w:hAnsi="Arial" w:cs="Arial"/>
                <w:sz w:val="22"/>
              </w:rPr>
            </w:pPr>
          </w:p>
        </w:tc>
        <w:tc>
          <w:tcPr>
            <w:tcW w:w="3960" w:type="dxa"/>
          </w:tcPr>
          <w:p w:rsidR="00AA2C82" w:rsidRDefault="00DF751D">
            <w:pPr>
              <w:spacing w:line="360" w:lineRule="auto"/>
              <w:jc w:val="center"/>
              <w:rPr>
                <w:rFonts w:ascii="Arial" w:hAnsi="Arial" w:cs="Arial"/>
                <w:sz w:val="22"/>
              </w:rPr>
            </w:pPr>
            <w:r>
              <w:rPr>
                <w:rFonts w:ascii="Arial" w:hAnsi="Arial" w:cs="Arial"/>
                <w:sz w:val="22"/>
              </w:rPr>
              <w:t>Titres relevant du secteur d’imposition séparé (SIS)</w:t>
            </w:r>
          </w:p>
        </w:tc>
        <w:tc>
          <w:tcPr>
            <w:tcW w:w="4140" w:type="dxa"/>
          </w:tcPr>
          <w:p w:rsidR="00AA2C82" w:rsidRDefault="00DF751D">
            <w:pPr>
              <w:spacing w:line="360" w:lineRule="auto"/>
              <w:jc w:val="center"/>
              <w:rPr>
                <w:rFonts w:ascii="Arial" w:hAnsi="Arial" w:cs="Arial"/>
                <w:sz w:val="22"/>
              </w:rPr>
            </w:pPr>
            <w:r>
              <w:rPr>
                <w:rFonts w:ascii="Arial" w:hAnsi="Arial" w:cs="Arial"/>
                <w:sz w:val="22"/>
              </w:rPr>
              <w:t>Autres titres relevant des PVLT</w:t>
            </w:r>
          </w:p>
        </w:tc>
      </w:tr>
      <w:tr w:rsidR="00AA2C82">
        <w:tc>
          <w:tcPr>
            <w:tcW w:w="1150" w:type="dxa"/>
          </w:tcPr>
          <w:p w:rsidR="00AA2C82" w:rsidRDefault="00DF751D">
            <w:pPr>
              <w:spacing w:line="360" w:lineRule="auto"/>
              <w:jc w:val="center"/>
              <w:rPr>
                <w:rFonts w:ascii="Arial" w:hAnsi="Arial" w:cs="Arial"/>
                <w:sz w:val="22"/>
              </w:rPr>
            </w:pPr>
            <w:r>
              <w:rPr>
                <w:rFonts w:ascii="Arial" w:hAnsi="Arial" w:cs="Arial"/>
                <w:sz w:val="22"/>
              </w:rPr>
              <w:t>2005</w:t>
            </w:r>
          </w:p>
          <w:p w:rsidR="00AA2C82" w:rsidRDefault="00DF751D">
            <w:pPr>
              <w:spacing w:line="360" w:lineRule="auto"/>
              <w:jc w:val="center"/>
              <w:rPr>
                <w:rFonts w:ascii="Arial" w:hAnsi="Arial" w:cs="Arial"/>
                <w:sz w:val="22"/>
              </w:rPr>
            </w:pPr>
            <w:r>
              <w:rPr>
                <w:rFonts w:ascii="Arial" w:hAnsi="Arial" w:cs="Arial"/>
                <w:sz w:val="22"/>
              </w:rPr>
              <w:t>2006</w:t>
            </w:r>
          </w:p>
          <w:p w:rsidR="00AA2C82" w:rsidRDefault="00DF751D">
            <w:pPr>
              <w:spacing w:line="360" w:lineRule="auto"/>
              <w:jc w:val="center"/>
              <w:rPr>
                <w:rFonts w:ascii="Arial" w:hAnsi="Arial" w:cs="Arial"/>
                <w:sz w:val="22"/>
              </w:rPr>
            </w:pPr>
            <w:r>
              <w:rPr>
                <w:rFonts w:ascii="Arial" w:hAnsi="Arial" w:cs="Arial"/>
                <w:sz w:val="22"/>
              </w:rPr>
              <w:t>2007</w:t>
            </w:r>
          </w:p>
        </w:tc>
        <w:tc>
          <w:tcPr>
            <w:tcW w:w="3960" w:type="dxa"/>
          </w:tcPr>
          <w:p w:rsidR="00AA2C82" w:rsidRDefault="00DF751D">
            <w:pPr>
              <w:spacing w:line="360" w:lineRule="auto"/>
              <w:jc w:val="center"/>
              <w:rPr>
                <w:rFonts w:ascii="Arial" w:hAnsi="Arial" w:cs="Arial"/>
                <w:sz w:val="22"/>
              </w:rPr>
            </w:pPr>
            <w:r>
              <w:rPr>
                <w:rFonts w:ascii="Arial" w:hAnsi="Arial" w:cs="Arial"/>
                <w:sz w:val="22"/>
              </w:rPr>
              <w:t>15%</w:t>
            </w:r>
          </w:p>
          <w:p w:rsidR="00AA2C82" w:rsidRDefault="00DF751D">
            <w:pPr>
              <w:spacing w:line="360" w:lineRule="auto"/>
              <w:jc w:val="center"/>
              <w:rPr>
                <w:rFonts w:ascii="Arial" w:hAnsi="Arial" w:cs="Arial"/>
                <w:sz w:val="22"/>
              </w:rPr>
            </w:pPr>
            <w:r>
              <w:rPr>
                <w:rFonts w:ascii="Arial" w:hAnsi="Arial" w:cs="Arial"/>
                <w:sz w:val="22"/>
              </w:rPr>
              <w:t>8%</w:t>
            </w:r>
          </w:p>
          <w:p w:rsidR="00AA2C82" w:rsidRDefault="00DF751D">
            <w:pPr>
              <w:spacing w:line="360" w:lineRule="auto"/>
              <w:jc w:val="center"/>
              <w:rPr>
                <w:rFonts w:ascii="Arial" w:hAnsi="Arial" w:cs="Arial"/>
                <w:sz w:val="22"/>
              </w:rPr>
            </w:pPr>
            <w:r>
              <w:rPr>
                <w:rFonts w:ascii="Arial" w:hAnsi="Arial" w:cs="Arial"/>
                <w:sz w:val="22"/>
              </w:rPr>
              <w:t>0%</w:t>
            </w:r>
          </w:p>
        </w:tc>
        <w:tc>
          <w:tcPr>
            <w:tcW w:w="4140" w:type="dxa"/>
          </w:tcPr>
          <w:p w:rsidR="00AA2C82" w:rsidRDefault="00DF751D">
            <w:pPr>
              <w:spacing w:line="360" w:lineRule="auto"/>
              <w:jc w:val="center"/>
              <w:rPr>
                <w:rFonts w:ascii="Arial" w:hAnsi="Arial" w:cs="Arial"/>
                <w:sz w:val="22"/>
              </w:rPr>
            </w:pPr>
            <w:r>
              <w:rPr>
                <w:rFonts w:ascii="Arial" w:hAnsi="Arial" w:cs="Arial"/>
                <w:sz w:val="22"/>
              </w:rPr>
              <w:t>15%</w:t>
            </w:r>
          </w:p>
          <w:p w:rsidR="00AA2C82" w:rsidRDefault="00DF751D">
            <w:pPr>
              <w:spacing w:line="360" w:lineRule="auto"/>
              <w:jc w:val="center"/>
              <w:rPr>
                <w:rFonts w:ascii="Arial" w:hAnsi="Arial" w:cs="Arial"/>
                <w:sz w:val="22"/>
              </w:rPr>
            </w:pPr>
            <w:r>
              <w:rPr>
                <w:rFonts w:ascii="Arial" w:hAnsi="Arial" w:cs="Arial"/>
                <w:sz w:val="22"/>
              </w:rPr>
              <w:t>15%</w:t>
            </w:r>
          </w:p>
          <w:p w:rsidR="00AA2C82" w:rsidRDefault="00DF751D">
            <w:pPr>
              <w:spacing w:line="360" w:lineRule="auto"/>
              <w:jc w:val="center"/>
              <w:rPr>
                <w:rFonts w:ascii="Arial" w:hAnsi="Arial" w:cs="Arial"/>
                <w:sz w:val="22"/>
              </w:rPr>
            </w:pPr>
            <w:r>
              <w:rPr>
                <w:rFonts w:ascii="Arial" w:hAnsi="Arial" w:cs="Arial"/>
                <w:sz w:val="22"/>
              </w:rPr>
              <w:t>15%</w:t>
            </w:r>
          </w:p>
        </w:tc>
      </w:tr>
    </w:tbl>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sz w:val="22"/>
        </w:rPr>
      </w:pPr>
      <w:r>
        <w:rPr>
          <w:rFonts w:ascii="Arial" w:hAnsi="Arial" w:cs="Arial"/>
          <w:sz w:val="22"/>
        </w:rPr>
        <w:t xml:space="preserve">A compter du 1/1/05, </w:t>
      </w:r>
      <w:r>
        <w:rPr>
          <w:rFonts w:ascii="Arial" w:hAnsi="Arial" w:cs="Arial"/>
          <w:b/>
          <w:bCs/>
          <w:sz w:val="22"/>
        </w:rPr>
        <w:t>impossibilité de constituer une réserve de PVLT</w:t>
      </w:r>
      <w:r>
        <w:rPr>
          <w:rFonts w:ascii="Arial" w:hAnsi="Arial" w:cs="Arial"/>
          <w:sz w:val="22"/>
        </w:rPr>
        <w:t xml:space="preserve"> </w:t>
      </w:r>
      <w:proofErr w:type="spellStart"/>
      <w:r>
        <w:rPr>
          <w:rFonts w:ascii="Arial" w:hAnsi="Arial" w:cs="Arial"/>
          <w:sz w:val="22"/>
        </w:rPr>
        <w:t>quelque</w:t>
      </w:r>
      <w:proofErr w:type="spellEnd"/>
      <w:r>
        <w:rPr>
          <w:rFonts w:ascii="Arial" w:hAnsi="Arial" w:cs="Arial"/>
          <w:sz w:val="22"/>
        </w:rPr>
        <w:t xml:space="preserve"> soit la PV. </w:t>
      </w:r>
      <w:r>
        <w:rPr>
          <w:rFonts w:ascii="Arial" w:hAnsi="Arial" w:cs="Arial"/>
          <w:b/>
          <w:bCs/>
          <w:sz w:val="22"/>
        </w:rPr>
        <w:t>Pour les réserves existantes</w:t>
      </w:r>
      <w:r>
        <w:rPr>
          <w:rFonts w:ascii="Arial" w:hAnsi="Arial" w:cs="Arial"/>
          <w:sz w:val="22"/>
        </w:rPr>
        <w:t>, il y a l’obligation de virer la réserve de PVLT dans un compte d’autres réserves dans la limite d’une réserve de 200 000 000 €. Entraîne le paiement d’un impôt exceptionnel = 2,5% du montant de la réserve virée avec une franchise de 500 000 € (si réserve de 499 000 €, pas d’impôt).</w:t>
      </w:r>
    </w:p>
    <w:p w:rsidR="00AA2C82" w:rsidRDefault="00DF751D">
      <w:pPr>
        <w:spacing w:line="360" w:lineRule="auto"/>
        <w:jc w:val="both"/>
        <w:rPr>
          <w:rFonts w:ascii="Arial" w:hAnsi="Arial" w:cs="Arial"/>
          <w:sz w:val="22"/>
        </w:rPr>
      </w:pPr>
      <w:r>
        <w:rPr>
          <w:rFonts w:ascii="Arial" w:hAnsi="Arial" w:cs="Arial"/>
          <w:sz w:val="22"/>
        </w:rPr>
        <w:t>Au-delà de 200 M€, la société a le choix soit de virer immédiatement le complément en autres réserves, soit d’attendre jusqu’au 31/12/06. Sur cette fraction, le prélèvement est de 5%.</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color w:val="FF00FF"/>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color w:val="FF00FF"/>
          <w:sz w:val="22"/>
        </w:rPr>
        <w:t>B – L’imputation des MVLT</w:t>
      </w:r>
    </w:p>
    <w:p w:rsidR="00AA2C82" w:rsidRDefault="00DF751D">
      <w:pPr>
        <w:pStyle w:val="BodyText2"/>
        <w:rPr>
          <w:color w:val="auto"/>
          <w:sz w:val="22"/>
        </w:rPr>
      </w:pPr>
      <w:r>
        <w:rPr>
          <w:color w:val="auto"/>
          <w:sz w:val="22"/>
        </w:rPr>
        <w:t>Les MVLT ne peuvent s’imputer fiscalement que sur les PVLT. Elles sont reportables sur les 10 exercices suivants.</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sz w:val="22"/>
        </w:rPr>
      </w:pPr>
      <w:r>
        <w:rPr>
          <w:rFonts w:ascii="Arial" w:hAnsi="Arial" w:cs="Arial"/>
          <w:sz w:val="22"/>
        </w:rPr>
        <w:t xml:space="preserve">A l’ouverture de l’exercice 2006, les entreprises devront procéder à la </w:t>
      </w:r>
      <w:r>
        <w:rPr>
          <w:rFonts w:ascii="Arial" w:hAnsi="Arial" w:cs="Arial"/>
          <w:b/>
          <w:bCs/>
          <w:sz w:val="22"/>
        </w:rPr>
        <w:t>détermination de la fraction des MV en instances de report qui sera imputable sur les PV imposées à 15%</w:t>
      </w:r>
      <w:r>
        <w:rPr>
          <w:rFonts w:ascii="Arial" w:hAnsi="Arial" w:cs="Arial"/>
          <w:sz w:val="22"/>
        </w:rPr>
        <w:t>. Il convient donc de comparer :</w:t>
      </w:r>
    </w:p>
    <w:p w:rsidR="00AA2C82" w:rsidRDefault="00DF751D">
      <w:pPr>
        <w:numPr>
          <w:ilvl w:val="0"/>
          <w:numId w:val="2"/>
        </w:numPr>
        <w:spacing w:line="360" w:lineRule="auto"/>
        <w:jc w:val="both"/>
        <w:rPr>
          <w:rFonts w:ascii="Arial" w:hAnsi="Arial" w:cs="Arial"/>
          <w:sz w:val="22"/>
        </w:rPr>
      </w:pPr>
      <w:r>
        <w:rPr>
          <w:rFonts w:ascii="Arial" w:hAnsi="Arial" w:cs="Arial"/>
          <w:sz w:val="22"/>
        </w:rPr>
        <w:t>le montant brut des MVLT afférentes à la cession de titres relevant désormais du secteur taxé à 15% qui ont été réalisées depuis l’exercice au cours duquel ont été subies les MV en instance de report les plus anciennes.</w:t>
      </w:r>
    </w:p>
    <w:p w:rsidR="00AA2C82" w:rsidRDefault="00DF751D">
      <w:pPr>
        <w:numPr>
          <w:ilvl w:val="0"/>
          <w:numId w:val="2"/>
        </w:numPr>
        <w:spacing w:line="360" w:lineRule="auto"/>
        <w:jc w:val="both"/>
        <w:rPr>
          <w:rFonts w:ascii="Arial" w:hAnsi="Arial" w:cs="Arial"/>
          <w:sz w:val="22"/>
        </w:rPr>
      </w:pPr>
      <w:r>
        <w:rPr>
          <w:rFonts w:ascii="Arial" w:hAnsi="Arial" w:cs="Arial"/>
          <w:sz w:val="22"/>
        </w:rPr>
        <w:t xml:space="preserve">Au solde des MV en instance de report à l’ouverture de l’exercice 2006. </w:t>
      </w:r>
    </w:p>
    <w:p w:rsidR="00AA2C82" w:rsidRDefault="00AA2C82">
      <w:pPr>
        <w:spacing w:line="360" w:lineRule="auto"/>
        <w:jc w:val="both"/>
        <w:rPr>
          <w:rFonts w:ascii="Arial" w:hAnsi="Arial" w:cs="Arial"/>
          <w:sz w:val="22"/>
        </w:rPr>
      </w:pPr>
    </w:p>
    <w:p w:rsidR="00AA2C82" w:rsidRDefault="00DF751D">
      <w:pPr>
        <w:spacing w:line="360" w:lineRule="auto"/>
        <w:ind w:left="2124"/>
        <w:jc w:val="both"/>
        <w:rPr>
          <w:rFonts w:ascii="Arial" w:hAnsi="Arial" w:cs="Arial"/>
          <w:color w:val="FF00FF"/>
          <w:sz w:val="22"/>
        </w:rPr>
      </w:pPr>
      <w:r>
        <w:rPr>
          <w:rFonts w:ascii="Arial" w:hAnsi="Arial" w:cs="Arial"/>
          <w:color w:val="FF00FF"/>
          <w:sz w:val="22"/>
        </w:rPr>
        <w:t>C – Les titres bénéficiant du régime et modalités</w:t>
      </w:r>
    </w:p>
    <w:p w:rsidR="00AA2C82" w:rsidRDefault="00DF751D">
      <w:pPr>
        <w:pStyle w:val="BodyText2"/>
        <w:numPr>
          <w:ilvl w:val="0"/>
          <w:numId w:val="2"/>
        </w:numPr>
        <w:rPr>
          <w:color w:val="auto"/>
          <w:sz w:val="22"/>
        </w:rPr>
      </w:pPr>
      <w:r>
        <w:rPr>
          <w:b/>
          <w:bCs/>
          <w:color w:val="auto"/>
          <w:sz w:val="22"/>
        </w:rPr>
        <w:t>titres relevant des SIS</w:t>
      </w:r>
      <w:r>
        <w:rPr>
          <w:color w:val="auto"/>
          <w:sz w:val="22"/>
        </w:rPr>
        <w:t> :</w:t>
      </w:r>
    </w:p>
    <w:p w:rsidR="00AA2C82" w:rsidRDefault="00DF751D">
      <w:pPr>
        <w:numPr>
          <w:ilvl w:val="1"/>
          <w:numId w:val="2"/>
        </w:numPr>
        <w:spacing w:line="360" w:lineRule="auto"/>
        <w:jc w:val="both"/>
        <w:rPr>
          <w:rFonts w:ascii="Arial" w:hAnsi="Arial" w:cs="Arial"/>
          <w:sz w:val="22"/>
        </w:rPr>
      </w:pPr>
      <w:r>
        <w:rPr>
          <w:rFonts w:ascii="Arial" w:hAnsi="Arial" w:cs="Arial"/>
          <w:sz w:val="22"/>
        </w:rPr>
        <w:t>titres de participation (sens juridique) dont la société n’est pas à prépondérance immobilière</w:t>
      </w:r>
    </w:p>
    <w:p w:rsidR="00AA2C82" w:rsidRDefault="00DF751D">
      <w:pPr>
        <w:numPr>
          <w:ilvl w:val="1"/>
          <w:numId w:val="2"/>
        </w:numPr>
        <w:spacing w:line="360" w:lineRule="auto"/>
        <w:jc w:val="both"/>
        <w:rPr>
          <w:rFonts w:ascii="Arial" w:hAnsi="Arial" w:cs="Arial"/>
          <w:sz w:val="22"/>
        </w:rPr>
      </w:pPr>
      <w:r>
        <w:rPr>
          <w:rFonts w:ascii="Arial" w:hAnsi="Arial" w:cs="Arial"/>
          <w:sz w:val="22"/>
        </w:rPr>
        <w:t xml:space="preserve">participation répondant au régime fiscal des sociétés mères et filles si la participation </w:t>
      </w:r>
      <w:r>
        <w:rPr>
          <w:rFonts w:ascii="Arial" w:hAnsi="Arial" w:cs="Arial"/>
          <w:sz w:val="22"/>
        </w:rPr>
        <w:sym w:font="Symbol" w:char="F0B3"/>
      </w:r>
      <w:r>
        <w:rPr>
          <w:rFonts w:ascii="Arial" w:hAnsi="Arial" w:cs="Arial"/>
          <w:sz w:val="22"/>
        </w:rPr>
        <w:t xml:space="preserve"> 5%</w:t>
      </w:r>
    </w:p>
    <w:p w:rsidR="00AA2C82" w:rsidRDefault="00DF751D">
      <w:pPr>
        <w:numPr>
          <w:ilvl w:val="0"/>
          <w:numId w:val="2"/>
        </w:numPr>
        <w:spacing w:line="360" w:lineRule="auto"/>
        <w:jc w:val="both"/>
        <w:rPr>
          <w:rFonts w:ascii="Arial" w:hAnsi="Arial" w:cs="Arial"/>
          <w:sz w:val="22"/>
        </w:rPr>
      </w:pPr>
      <w:r>
        <w:rPr>
          <w:rFonts w:ascii="Arial" w:hAnsi="Arial" w:cs="Arial"/>
          <w:b/>
          <w:bCs/>
          <w:sz w:val="22"/>
        </w:rPr>
        <w:t>titres relevant des PVLT à 15%</w:t>
      </w:r>
      <w:r>
        <w:rPr>
          <w:rFonts w:ascii="Arial" w:hAnsi="Arial" w:cs="Arial"/>
          <w:sz w:val="22"/>
        </w:rPr>
        <w:t> :</w:t>
      </w:r>
    </w:p>
    <w:p w:rsidR="00AA2C82" w:rsidRDefault="00DF751D">
      <w:pPr>
        <w:numPr>
          <w:ilvl w:val="1"/>
          <w:numId w:val="2"/>
        </w:numPr>
        <w:spacing w:line="360" w:lineRule="auto"/>
        <w:jc w:val="both"/>
        <w:rPr>
          <w:rFonts w:ascii="Arial" w:hAnsi="Arial" w:cs="Arial"/>
          <w:sz w:val="22"/>
        </w:rPr>
      </w:pPr>
      <w:r>
        <w:rPr>
          <w:rFonts w:ascii="Arial" w:hAnsi="Arial" w:cs="Arial"/>
          <w:sz w:val="22"/>
        </w:rPr>
        <w:lastRenderedPageBreak/>
        <w:t>titres de participation (sens juridique) dont la société est à prépondérance immobilière</w:t>
      </w:r>
    </w:p>
    <w:p w:rsidR="00AA2C82" w:rsidRDefault="00DF751D">
      <w:pPr>
        <w:numPr>
          <w:ilvl w:val="1"/>
          <w:numId w:val="2"/>
        </w:numPr>
        <w:spacing w:line="360" w:lineRule="auto"/>
        <w:jc w:val="both"/>
        <w:rPr>
          <w:rFonts w:ascii="Arial" w:hAnsi="Arial" w:cs="Arial"/>
          <w:sz w:val="22"/>
        </w:rPr>
      </w:pPr>
      <w:r>
        <w:rPr>
          <w:rFonts w:ascii="Arial" w:hAnsi="Arial" w:cs="Arial"/>
          <w:sz w:val="22"/>
        </w:rPr>
        <w:t xml:space="preserve">participations répondant au régime fiscal des sociétés mères et filles si la participation est &lt; 5% mais </w:t>
      </w:r>
      <w:r>
        <w:rPr>
          <w:rFonts w:ascii="Arial" w:hAnsi="Arial" w:cs="Arial"/>
          <w:sz w:val="22"/>
        </w:rPr>
        <w:sym w:font="Symbol" w:char="F0B3"/>
      </w:r>
      <w:r>
        <w:rPr>
          <w:rFonts w:ascii="Arial" w:hAnsi="Arial" w:cs="Arial"/>
          <w:sz w:val="22"/>
        </w:rPr>
        <w:t xml:space="preserve"> 22 800 000 €</w:t>
      </w:r>
    </w:p>
    <w:p w:rsidR="00AA2C82" w:rsidRDefault="00DF751D">
      <w:pPr>
        <w:numPr>
          <w:ilvl w:val="1"/>
          <w:numId w:val="2"/>
        </w:numPr>
        <w:spacing w:line="360" w:lineRule="auto"/>
        <w:jc w:val="both"/>
        <w:rPr>
          <w:rFonts w:ascii="Arial" w:hAnsi="Arial" w:cs="Arial"/>
          <w:sz w:val="22"/>
        </w:rPr>
      </w:pPr>
      <w:r>
        <w:rPr>
          <w:rFonts w:ascii="Arial" w:hAnsi="Arial" w:cs="Arial"/>
          <w:sz w:val="22"/>
        </w:rPr>
        <w:t>certains fonds communs de placement (FCPR)</w:t>
      </w:r>
    </w:p>
    <w:p w:rsidR="00AA2C82" w:rsidRDefault="00AA2C82">
      <w:pPr>
        <w:spacing w:line="360" w:lineRule="auto"/>
        <w:jc w:val="both"/>
        <w:rPr>
          <w:rFonts w:ascii="Arial" w:hAnsi="Arial" w:cs="Arial"/>
          <w:sz w:val="22"/>
        </w:rPr>
      </w:pPr>
    </w:p>
    <w:p w:rsidR="00AA2C82" w:rsidRDefault="00DF751D">
      <w:pPr>
        <w:spacing w:line="360" w:lineRule="auto"/>
        <w:ind w:left="1080" w:firstLine="336"/>
        <w:jc w:val="both"/>
        <w:rPr>
          <w:rFonts w:ascii="Arial" w:hAnsi="Arial" w:cs="Arial"/>
          <w:color w:val="FF00FF"/>
        </w:rPr>
      </w:pPr>
      <w:r>
        <w:rPr>
          <w:rFonts w:ascii="Arial" w:hAnsi="Arial" w:cs="Arial"/>
          <w:color w:val="FF00FF"/>
        </w:rPr>
        <w:t>II – Les titres exclus du régime des PVLT</w:t>
      </w:r>
    </w:p>
    <w:p w:rsidR="00AA2C82" w:rsidRDefault="00DF751D">
      <w:pPr>
        <w:spacing w:line="360" w:lineRule="auto"/>
        <w:jc w:val="both"/>
        <w:rPr>
          <w:rFonts w:ascii="Arial" w:hAnsi="Arial" w:cs="Arial"/>
          <w:sz w:val="22"/>
        </w:rPr>
      </w:pPr>
      <w:r>
        <w:rPr>
          <w:rFonts w:ascii="Arial" w:hAnsi="Arial" w:cs="Arial"/>
          <w:sz w:val="22"/>
        </w:rPr>
        <w:t xml:space="preserve">Ce sont toutes les </w:t>
      </w:r>
      <w:r>
        <w:rPr>
          <w:rFonts w:ascii="Arial" w:hAnsi="Arial" w:cs="Arial"/>
          <w:b/>
          <w:bCs/>
          <w:sz w:val="22"/>
        </w:rPr>
        <w:t>actions et parts sociales ne relevant pas des PVLT</w:t>
      </w:r>
      <w:r>
        <w:rPr>
          <w:rFonts w:ascii="Arial" w:hAnsi="Arial" w:cs="Arial"/>
          <w:sz w:val="22"/>
        </w:rPr>
        <w:t xml:space="preserve">, </w:t>
      </w:r>
      <w:r>
        <w:rPr>
          <w:rFonts w:ascii="Arial" w:hAnsi="Arial" w:cs="Arial"/>
          <w:b/>
          <w:bCs/>
          <w:sz w:val="22"/>
        </w:rPr>
        <w:t>les Bons de souscription d’actions et les certificats d’investissement</w:t>
      </w:r>
      <w:r>
        <w:rPr>
          <w:rFonts w:ascii="Arial" w:hAnsi="Arial" w:cs="Arial"/>
          <w:sz w:val="22"/>
        </w:rPr>
        <w:t>.</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sz w:val="22"/>
        </w:rPr>
      </w:pPr>
      <w:r>
        <w:rPr>
          <w:rFonts w:ascii="Arial" w:hAnsi="Arial" w:cs="Arial"/>
          <w:sz w:val="22"/>
        </w:rPr>
        <w:t xml:space="preserve">Leur </w:t>
      </w:r>
      <w:r>
        <w:rPr>
          <w:rFonts w:ascii="Arial" w:hAnsi="Arial" w:cs="Arial"/>
          <w:b/>
          <w:bCs/>
          <w:sz w:val="22"/>
        </w:rPr>
        <w:t>dotation aux provisions est fiscalement déductible</w:t>
      </w:r>
      <w:r>
        <w:rPr>
          <w:rFonts w:ascii="Arial" w:hAnsi="Arial" w:cs="Arial"/>
          <w:sz w:val="22"/>
        </w:rPr>
        <w:t xml:space="preserve"> et la </w:t>
      </w:r>
      <w:r>
        <w:rPr>
          <w:rFonts w:ascii="Arial" w:hAnsi="Arial" w:cs="Arial"/>
          <w:b/>
          <w:bCs/>
          <w:sz w:val="22"/>
        </w:rPr>
        <w:t>reprise sur provision est imposable</w:t>
      </w:r>
      <w:r>
        <w:rPr>
          <w:rFonts w:ascii="Arial" w:hAnsi="Arial" w:cs="Arial"/>
          <w:sz w:val="22"/>
        </w:rPr>
        <w:t>. D’où l’importance de bien qualifier les titres.</w:t>
      </w:r>
    </w:p>
    <w:p w:rsidR="00AA2C82" w:rsidRDefault="00DF751D">
      <w:pPr>
        <w:spacing w:line="360" w:lineRule="auto"/>
        <w:jc w:val="both"/>
        <w:rPr>
          <w:rFonts w:ascii="Arial" w:hAnsi="Arial" w:cs="Arial"/>
          <w:sz w:val="22"/>
        </w:rPr>
      </w:pPr>
      <w:r>
        <w:rPr>
          <w:rFonts w:ascii="Arial" w:hAnsi="Arial" w:cs="Arial"/>
          <w:sz w:val="22"/>
        </w:rPr>
        <w:t xml:space="preserve">La méthode retenue pour la cession </w:t>
      </w:r>
      <w:proofErr w:type="spellStart"/>
      <w:r>
        <w:rPr>
          <w:rFonts w:ascii="Arial" w:hAnsi="Arial" w:cs="Arial"/>
          <w:sz w:val="22"/>
        </w:rPr>
        <w:t>des</w:t>
      </w:r>
      <w:proofErr w:type="spellEnd"/>
      <w:r>
        <w:rPr>
          <w:rFonts w:ascii="Arial" w:hAnsi="Arial" w:cs="Arial"/>
          <w:sz w:val="22"/>
        </w:rPr>
        <w:t xml:space="preserve"> ces titres est FIFO.</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color w:val="FF00FF"/>
        </w:rPr>
      </w:pPr>
      <w:r>
        <w:rPr>
          <w:rFonts w:ascii="Arial" w:hAnsi="Arial" w:cs="Arial"/>
          <w:sz w:val="22"/>
        </w:rPr>
        <w:tab/>
      </w:r>
      <w:r>
        <w:rPr>
          <w:rFonts w:ascii="Arial" w:hAnsi="Arial" w:cs="Arial"/>
          <w:sz w:val="22"/>
        </w:rPr>
        <w:tab/>
      </w:r>
      <w:r>
        <w:rPr>
          <w:rFonts w:ascii="Arial" w:hAnsi="Arial" w:cs="Arial"/>
          <w:color w:val="FF00FF"/>
        </w:rPr>
        <w:t>III – Cas particulier des OPCVM</w:t>
      </w:r>
    </w:p>
    <w:p w:rsidR="00AA2C82" w:rsidRDefault="00DF751D">
      <w:pPr>
        <w:spacing w:line="360" w:lineRule="auto"/>
        <w:jc w:val="both"/>
        <w:rPr>
          <w:rFonts w:ascii="Arial" w:hAnsi="Arial" w:cs="Arial"/>
          <w:sz w:val="22"/>
        </w:rPr>
      </w:pPr>
      <w:r>
        <w:rPr>
          <w:rFonts w:ascii="Arial" w:hAnsi="Arial" w:cs="Arial"/>
          <w:sz w:val="22"/>
        </w:rPr>
        <w:t xml:space="preserve">Ce sont des titres dont la valeur ne cesse d’augmenter d’années en années. </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sz w:val="22"/>
        </w:rPr>
      </w:pPr>
      <w:r>
        <w:rPr>
          <w:rFonts w:ascii="Arial" w:hAnsi="Arial" w:cs="Arial"/>
          <w:sz w:val="22"/>
          <w:u w:val="single"/>
        </w:rPr>
        <w:t>Fiscalité </w:t>
      </w:r>
      <w:r>
        <w:rPr>
          <w:rFonts w:ascii="Arial" w:hAnsi="Arial" w:cs="Arial"/>
          <w:sz w:val="22"/>
        </w:rPr>
        <w:t xml:space="preserve">: obligation </w:t>
      </w:r>
      <w:r>
        <w:rPr>
          <w:rFonts w:ascii="Arial" w:hAnsi="Arial" w:cs="Arial"/>
          <w:b/>
          <w:bCs/>
          <w:sz w:val="22"/>
        </w:rPr>
        <w:t>d’imposer</w:t>
      </w:r>
      <w:r>
        <w:rPr>
          <w:rFonts w:ascii="Arial" w:hAnsi="Arial" w:cs="Arial"/>
          <w:sz w:val="22"/>
        </w:rPr>
        <w:t xml:space="preserve"> sur ces titres </w:t>
      </w:r>
      <w:r>
        <w:rPr>
          <w:rFonts w:ascii="Arial" w:hAnsi="Arial" w:cs="Arial"/>
          <w:b/>
          <w:bCs/>
          <w:sz w:val="22"/>
        </w:rPr>
        <w:t>la PV latente déterminée à la clôture de l’exercice</w:t>
      </w:r>
      <w:r>
        <w:rPr>
          <w:rFonts w:ascii="Arial" w:hAnsi="Arial" w:cs="Arial"/>
          <w:sz w:val="22"/>
        </w:rPr>
        <w:t xml:space="preserve"> quand bien même il y a eu aucune cession de ces titres.</w:t>
      </w:r>
    </w:p>
    <w:p w:rsidR="00AA2C82" w:rsidRDefault="00AA2C82">
      <w:pPr>
        <w:spacing w:line="360" w:lineRule="auto"/>
        <w:jc w:val="both"/>
        <w:rPr>
          <w:rFonts w:ascii="Arial" w:hAnsi="Arial" w:cs="Arial"/>
          <w:sz w:val="22"/>
          <w:u w:val="single"/>
        </w:rPr>
      </w:pPr>
    </w:p>
    <w:p w:rsidR="00AA2C82" w:rsidRDefault="00DF751D">
      <w:pPr>
        <w:spacing w:line="360" w:lineRule="auto"/>
        <w:jc w:val="both"/>
        <w:rPr>
          <w:rFonts w:ascii="Arial" w:hAnsi="Arial" w:cs="Arial"/>
          <w:sz w:val="22"/>
        </w:rPr>
      </w:pPr>
      <w:r>
        <w:rPr>
          <w:rFonts w:ascii="Arial" w:hAnsi="Arial" w:cs="Arial"/>
          <w:sz w:val="22"/>
          <w:u w:val="single"/>
        </w:rPr>
        <w:t>Comptabilité</w:t>
      </w:r>
      <w:r>
        <w:rPr>
          <w:rFonts w:ascii="Arial" w:hAnsi="Arial" w:cs="Arial"/>
          <w:sz w:val="22"/>
        </w:rPr>
        <w:t> : quand on cède des VMP, on comptabilise le résultat net directement :</w:t>
      </w:r>
    </w:p>
    <w:p w:rsidR="00AA2C82" w:rsidRDefault="00DF751D">
      <w:pPr>
        <w:numPr>
          <w:ilvl w:val="0"/>
          <w:numId w:val="2"/>
        </w:numPr>
        <w:spacing w:line="360" w:lineRule="auto"/>
        <w:jc w:val="both"/>
        <w:rPr>
          <w:rFonts w:ascii="Arial" w:hAnsi="Arial" w:cs="Arial"/>
          <w:sz w:val="22"/>
        </w:rPr>
      </w:pPr>
      <w:r>
        <w:rPr>
          <w:rFonts w:ascii="Arial" w:hAnsi="Arial" w:cs="Arial"/>
          <w:sz w:val="22"/>
        </w:rPr>
        <w:t xml:space="preserve">soit en </w:t>
      </w:r>
      <w:r>
        <w:rPr>
          <w:rFonts w:ascii="Arial" w:hAnsi="Arial" w:cs="Arial"/>
          <w:b/>
          <w:bCs/>
          <w:sz w:val="22"/>
        </w:rPr>
        <w:t xml:space="preserve">767 </w:t>
      </w:r>
      <w:r>
        <w:rPr>
          <w:rFonts w:ascii="Arial" w:hAnsi="Arial" w:cs="Arial"/>
          <w:sz w:val="22"/>
        </w:rPr>
        <w:t xml:space="preserve">– Produit net de cession de VMP s’il s’agit d’une </w:t>
      </w:r>
      <w:r>
        <w:rPr>
          <w:rFonts w:ascii="Arial" w:hAnsi="Arial" w:cs="Arial"/>
          <w:b/>
          <w:bCs/>
          <w:sz w:val="22"/>
        </w:rPr>
        <w:t>PV</w:t>
      </w:r>
    </w:p>
    <w:p w:rsidR="00AA2C82" w:rsidRDefault="00DF751D">
      <w:pPr>
        <w:numPr>
          <w:ilvl w:val="0"/>
          <w:numId w:val="2"/>
        </w:numPr>
        <w:spacing w:line="360" w:lineRule="auto"/>
        <w:jc w:val="both"/>
        <w:rPr>
          <w:rFonts w:ascii="Arial" w:hAnsi="Arial" w:cs="Arial"/>
          <w:sz w:val="22"/>
        </w:rPr>
      </w:pPr>
      <w:r>
        <w:rPr>
          <w:rFonts w:ascii="Arial" w:hAnsi="Arial" w:cs="Arial"/>
          <w:sz w:val="22"/>
        </w:rPr>
        <w:t xml:space="preserve">soit en </w:t>
      </w:r>
      <w:r>
        <w:rPr>
          <w:rFonts w:ascii="Arial" w:hAnsi="Arial" w:cs="Arial"/>
          <w:b/>
          <w:bCs/>
          <w:sz w:val="22"/>
        </w:rPr>
        <w:t>667</w:t>
      </w:r>
      <w:r>
        <w:rPr>
          <w:rFonts w:ascii="Arial" w:hAnsi="Arial" w:cs="Arial"/>
          <w:sz w:val="22"/>
        </w:rPr>
        <w:t xml:space="preserve"> – Charge nette sur cession de VMP si </w:t>
      </w:r>
      <w:r>
        <w:rPr>
          <w:rFonts w:ascii="Arial" w:hAnsi="Arial" w:cs="Arial"/>
          <w:b/>
          <w:bCs/>
          <w:sz w:val="22"/>
        </w:rPr>
        <w:t>MV</w:t>
      </w:r>
      <w:r>
        <w:rPr>
          <w:rFonts w:ascii="Arial" w:hAnsi="Arial" w:cs="Arial"/>
          <w:sz w:val="22"/>
        </w:rPr>
        <w:t>.</w:t>
      </w:r>
    </w:p>
    <w:p w:rsidR="00AA2C82" w:rsidRDefault="00AA2C82">
      <w:pPr>
        <w:spacing w:line="360" w:lineRule="auto"/>
        <w:jc w:val="both"/>
        <w:rPr>
          <w:rFonts w:ascii="Arial" w:hAnsi="Arial" w:cs="Arial"/>
          <w:sz w:val="22"/>
        </w:rPr>
      </w:pPr>
    </w:p>
    <w:p w:rsidR="00AA2C82" w:rsidRDefault="00DF751D">
      <w:pPr>
        <w:pStyle w:val="Heading2"/>
        <w:ind w:left="708"/>
        <w:rPr>
          <w:color w:val="FF00FF"/>
          <w:sz w:val="28"/>
        </w:rPr>
      </w:pPr>
      <w:r>
        <w:rPr>
          <w:color w:val="FF00FF"/>
          <w:sz w:val="28"/>
        </w:rPr>
        <w:t>Section 2 : Le transfert des titres d’un régime fiscal à l’autre</w:t>
      </w:r>
    </w:p>
    <w:p w:rsidR="00AA2C82" w:rsidRDefault="00DF751D">
      <w:pPr>
        <w:spacing w:line="360" w:lineRule="auto"/>
        <w:jc w:val="both"/>
        <w:rPr>
          <w:rFonts w:ascii="Arial" w:hAnsi="Arial" w:cs="Arial"/>
          <w:color w:val="FF00FF"/>
        </w:rPr>
      </w:pPr>
      <w:r>
        <w:rPr>
          <w:rFonts w:ascii="Arial" w:hAnsi="Arial" w:cs="Arial"/>
          <w:sz w:val="22"/>
        </w:rPr>
        <w:tab/>
      </w:r>
      <w:r>
        <w:rPr>
          <w:rFonts w:ascii="Arial" w:hAnsi="Arial" w:cs="Arial"/>
          <w:sz w:val="22"/>
        </w:rPr>
        <w:tab/>
      </w:r>
      <w:r>
        <w:rPr>
          <w:rFonts w:ascii="Arial" w:hAnsi="Arial" w:cs="Arial"/>
          <w:color w:val="FF00FF"/>
        </w:rPr>
        <w:t>I – Les obligations comptables</w:t>
      </w:r>
    </w:p>
    <w:p w:rsidR="00AA2C82" w:rsidRDefault="00DF751D">
      <w:pPr>
        <w:numPr>
          <w:ilvl w:val="0"/>
          <w:numId w:val="2"/>
        </w:numPr>
        <w:spacing w:line="360" w:lineRule="auto"/>
        <w:jc w:val="both"/>
        <w:rPr>
          <w:rFonts w:ascii="Arial" w:hAnsi="Arial" w:cs="Arial"/>
          <w:sz w:val="22"/>
        </w:rPr>
      </w:pPr>
      <w:r>
        <w:rPr>
          <w:rFonts w:ascii="Arial" w:hAnsi="Arial" w:cs="Arial"/>
          <w:b/>
          <w:bCs/>
          <w:sz w:val="22"/>
        </w:rPr>
        <w:t>Titres relevant des PVLT</w:t>
      </w:r>
      <w:r>
        <w:rPr>
          <w:rFonts w:ascii="Arial" w:hAnsi="Arial" w:cs="Arial"/>
          <w:sz w:val="22"/>
        </w:rPr>
        <w:t> :</w:t>
      </w:r>
    </w:p>
    <w:p w:rsidR="00AA2C82" w:rsidRDefault="00DF751D">
      <w:pPr>
        <w:numPr>
          <w:ilvl w:val="1"/>
          <w:numId w:val="2"/>
        </w:numPr>
        <w:spacing w:line="360" w:lineRule="auto"/>
        <w:jc w:val="both"/>
        <w:rPr>
          <w:rFonts w:ascii="Arial" w:hAnsi="Arial" w:cs="Arial"/>
          <w:sz w:val="22"/>
        </w:rPr>
      </w:pPr>
      <w:r>
        <w:rPr>
          <w:rFonts w:ascii="Arial" w:hAnsi="Arial" w:cs="Arial"/>
          <w:sz w:val="22"/>
        </w:rPr>
        <w:t>titres de participation : compte 261000</w:t>
      </w:r>
    </w:p>
    <w:p w:rsidR="00AA2C82" w:rsidRDefault="00DF751D">
      <w:pPr>
        <w:numPr>
          <w:ilvl w:val="1"/>
          <w:numId w:val="2"/>
        </w:numPr>
        <w:spacing w:line="360" w:lineRule="auto"/>
        <w:jc w:val="both"/>
        <w:rPr>
          <w:rFonts w:ascii="Arial" w:hAnsi="Arial" w:cs="Arial"/>
          <w:sz w:val="22"/>
        </w:rPr>
      </w:pPr>
      <w:r>
        <w:rPr>
          <w:rFonts w:ascii="Arial" w:hAnsi="Arial" w:cs="Arial"/>
          <w:sz w:val="22"/>
        </w:rPr>
        <w:t>titres relevant du régime des sociétés mère – filles (</w:t>
      </w:r>
      <w:r>
        <w:rPr>
          <w:rFonts w:ascii="Arial" w:hAnsi="Arial" w:cs="Arial"/>
          <w:sz w:val="22"/>
        </w:rPr>
        <w:sym w:font="Symbol" w:char="F0B3"/>
      </w:r>
      <w:r>
        <w:rPr>
          <w:rFonts w:ascii="Arial" w:hAnsi="Arial" w:cs="Arial"/>
          <w:sz w:val="22"/>
        </w:rPr>
        <w:t xml:space="preserve"> 5% ou </w:t>
      </w:r>
      <w:r>
        <w:rPr>
          <w:rFonts w:ascii="Arial" w:hAnsi="Arial" w:cs="Arial"/>
          <w:sz w:val="22"/>
        </w:rPr>
        <w:sym w:font="Symbol" w:char="F0B3"/>
      </w:r>
      <w:r>
        <w:rPr>
          <w:rFonts w:ascii="Arial" w:hAnsi="Arial" w:cs="Arial"/>
          <w:sz w:val="22"/>
        </w:rPr>
        <w:t xml:space="preserve"> 22,8 M€) : compte 271010 pour les titres relevant du régime des PVLT et 503010 pour les VMP relevant du régime des PVLT.</w:t>
      </w:r>
    </w:p>
    <w:p w:rsidR="00AA2C82" w:rsidRDefault="00DF751D">
      <w:pPr>
        <w:numPr>
          <w:ilvl w:val="0"/>
          <w:numId w:val="2"/>
        </w:numPr>
        <w:spacing w:line="360" w:lineRule="auto"/>
        <w:jc w:val="both"/>
        <w:rPr>
          <w:rFonts w:ascii="Arial" w:hAnsi="Arial" w:cs="Arial"/>
          <w:sz w:val="22"/>
        </w:rPr>
      </w:pPr>
      <w:r>
        <w:rPr>
          <w:rFonts w:ascii="Arial" w:hAnsi="Arial" w:cs="Arial"/>
          <w:b/>
          <w:bCs/>
          <w:sz w:val="22"/>
        </w:rPr>
        <w:t>Titres ne relevant pas des PVLT</w:t>
      </w:r>
      <w:r>
        <w:rPr>
          <w:rFonts w:ascii="Arial" w:hAnsi="Arial" w:cs="Arial"/>
          <w:sz w:val="22"/>
        </w:rPr>
        <w:t> : compte 271000 pour les titres de placement et 503000 pour les VMP.</w:t>
      </w:r>
    </w:p>
    <w:p w:rsidR="00AA2C82" w:rsidRDefault="00DF751D">
      <w:pPr>
        <w:spacing w:line="360" w:lineRule="auto"/>
        <w:ind w:left="1416"/>
        <w:jc w:val="both"/>
        <w:rPr>
          <w:rFonts w:ascii="Arial" w:hAnsi="Arial" w:cs="Arial"/>
          <w:color w:val="FF00FF"/>
        </w:rPr>
      </w:pPr>
      <w:r>
        <w:rPr>
          <w:rFonts w:ascii="Arial" w:hAnsi="Arial" w:cs="Arial"/>
          <w:color w:val="FF00FF"/>
        </w:rPr>
        <w:t>II – Les modalités du transfert d’un régime à l’autre</w:t>
      </w:r>
    </w:p>
    <w:p w:rsidR="00AA2C82" w:rsidRDefault="00DF751D">
      <w:pPr>
        <w:spacing w:line="360" w:lineRule="auto"/>
        <w:jc w:val="both"/>
        <w:rPr>
          <w:rFonts w:ascii="Arial" w:hAnsi="Arial" w:cs="Arial"/>
          <w:color w:val="FF00FF"/>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color w:val="FF00FF"/>
          <w:sz w:val="22"/>
        </w:rPr>
        <w:t>A – La constatation d’un résultat de transfert</w:t>
      </w:r>
    </w:p>
    <w:p w:rsidR="00AA2C82" w:rsidRDefault="00DF751D">
      <w:pPr>
        <w:spacing w:line="360" w:lineRule="auto"/>
        <w:jc w:val="both"/>
        <w:rPr>
          <w:rFonts w:ascii="Arial" w:hAnsi="Arial" w:cs="Arial"/>
          <w:sz w:val="22"/>
        </w:rPr>
      </w:pPr>
      <w:r>
        <w:rPr>
          <w:rFonts w:ascii="Arial" w:hAnsi="Arial" w:cs="Arial"/>
          <w:sz w:val="22"/>
        </w:rPr>
        <w:t>Résultat de transfert = valeur réelle du titre à la date du transfert – valeur fiscale.</w:t>
      </w:r>
    </w:p>
    <w:p w:rsidR="00AA2C82" w:rsidRDefault="00DF751D">
      <w:pPr>
        <w:spacing w:line="360" w:lineRule="auto"/>
        <w:jc w:val="both"/>
        <w:rPr>
          <w:rFonts w:ascii="Arial" w:hAnsi="Arial" w:cs="Arial"/>
          <w:sz w:val="22"/>
        </w:rPr>
      </w:pPr>
      <w:r>
        <w:rPr>
          <w:rFonts w:ascii="Arial" w:hAnsi="Arial" w:cs="Arial"/>
          <w:sz w:val="22"/>
        </w:rPr>
        <w:t>Valeur fiscale = coût d’acquisition du titre avant les provisions éventuelles ou à la dernière valeur de transfert.</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color w:val="FF00FF"/>
          <w:sz w:val="22"/>
        </w:rPr>
      </w:pPr>
      <w:r>
        <w:rPr>
          <w:rFonts w:ascii="Arial" w:hAnsi="Arial" w:cs="Arial"/>
          <w:sz w:val="22"/>
        </w:rPr>
        <w:lastRenderedPageBreak/>
        <w:tab/>
      </w:r>
      <w:r>
        <w:rPr>
          <w:rFonts w:ascii="Arial" w:hAnsi="Arial" w:cs="Arial"/>
          <w:sz w:val="22"/>
        </w:rPr>
        <w:tab/>
      </w:r>
      <w:r>
        <w:rPr>
          <w:rFonts w:ascii="Arial" w:hAnsi="Arial" w:cs="Arial"/>
          <w:sz w:val="22"/>
        </w:rPr>
        <w:tab/>
      </w:r>
      <w:r>
        <w:rPr>
          <w:rFonts w:ascii="Arial" w:hAnsi="Arial" w:cs="Arial"/>
          <w:color w:val="FF00FF"/>
          <w:sz w:val="22"/>
        </w:rPr>
        <w:t>B – Le report d’imposition du résultat de transfert</w:t>
      </w:r>
    </w:p>
    <w:p w:rsidR="00AA2C82" w:rsidRDefault="00DF751D">
      <w:pPr>
        <w:numPr>
          <w:ilvl w:val="0"/>
          <w:numId w:val="2"/>
        </w:numPr>
        <w:spacing w:line="360" w:lineRule="auto"/>
        <w:jc w:val="both"/>
        <w:rPr>
          <w:rFonts w:ascii="Arial" w:hAnsi="Arial" w:cs="Arial"/>
          <w:sz w:val="22"/>
        </w:rPr>
      </w:pPr>
      <w:r>
        <w:rPr>
          <w:rFonts w:ascii="Arial" w:hAnsi="Arial" w:cs="Arial"/>
          <w:b/>
          <w:bCs/>
          <w:sz w:val="22"/>
        </w:rPr>
        <w:t>Passage de titres relevant des PVLT à des titres ne relevant pas des PVLT</w:t>
      </w:r>
      <w:r>
        <w:rPr>
          <w:rFonts w:ascii="Arial" w:hAnsi="Arial" w:cs="Arial"/>
          <w:sz w:val="22"/>
        </w:rPr>
        <w:t xml:space="preserve"> : imposition du résultat de transfert au régime des PVLT </w:t>
      </w:r>
      <w:r>
        <w:rPr>
          <w:rFonts w:ascii="Arial" w:hAnsi="Arial" w:cs="Arial"/>
          <w:sz w:val="22"/>
        </w:rPr>
        <w:sym w:font="Symbol" w:char="F0DE"/>
      </w:r>
      <w:r>
        <w:rPr>
          <w:rFonts w:ascii="Arial" w:hAnsi="Arial" w:cs="Arial"/>
          <w:sz w:val="22"/>
        </w:rPr>
        <w:t xml:space="preserve"> </w:t>
      </w:r>
      <w:r>
        <w:rPr>
          <w:rFonts w:ascii="Arial" w:hAnsi="Arial" w:cs="Arial"/>
          <w:b/>
          <w:bCs/>
          <w:sz w:val="22"/>
        </w:rPr>
        <w:t>report d’imposition lors de la cession effective des titres</w:t>
      </w:r>
      <w:r>
        <w:rPr>
          <w:rFonts w:ascii="Arial" w:hAnsi="Arial" w:cs="Arial"/>
          <w:sz w:val="22"/>
        </w:rPr>
        <w:t>.</w:t>
      </w:r>
    </w:p>
    <w:p w:rsidR="00AA2C82" w:rsidRDefault="00DF751D">
      <w:pPr>
        <w:numPr>
          <w:ilvl w:val="0"/>
          <w:numId w:val="2"/>
        </w:numPr>
        <w:spacing w:line="360" w:lineRule="auto"/>
        <w:jc w:val="both"/>
        <w:rPr>
          <w:rFonts w:ascii="Arial" w:hAnsi="Arial" w:cs="Arial"/>
          <w:sz w:val="22"/>
        </w:rPr>
      </w:pPr>
      <w:r>
        <w:rPr>
          <w:rFonts w:ascii="Arial" w:hAnsi="Arial" w:cs="Arial"/>
          <w:b/>
          <w:bCs/>
          <w:sz w:val="22"/>
        </w:rPr>
        <w:t>Passage de titres ne relevant pas des PVLT à des titres relevant des PVLT</w:t>
      </w:r>
      <w:r>
        <w:rPr>
          <w:rFonts w:ascii="Arial" w:hAnsi="Arial" w:cs="Arial"/>
          <w:sz w:val="22"/>
        </w:rPr>
        <w:t xml:space="preserve"> : le résultat de transfert s’impute sur le résultat au taux de droit commun mais en </w:t>
      </w:r>
      <w:r>
        <w:rPr>
          <w:rFonts w:ascii="Arial" w:hAnsi="Arial" w:cs="Arial"/>
          <w:b/>
          <w:bCs/>
          <w:sz w:val="22"/>
        </w:rPr>
        <w:t>report</w:t>
      </w:r>
      <w:r>
        <w:rPr>
          <w:rFonts w:ascii="Arial" w:hAnsi="Arial" w:cs="Arial"/>
          <w:sz w:val="22"/>
        </w:rPr>
        <w:t>, c’est-à-dire lors de la cession des titres.</w:t>
      </w:r>
    </w:p>
    <w:p w:rsidR="00AA2C82" w:rsidRDefault="00AA2C82">
      <w:pPr>
        <w:spacing w:line="360" w:lineRule="auto"/>
        <w:jc w:val="both"/>
        <w:rPr>
          <w:rFonts w:ascii="Arial" w:hAnsi="Arial" w:cs="Arial"/>
          <w:sz w:val="22"/>
        </w:rPr>
      </w:pPr>
    </w:p>
    <w:p w:rsidR="00AA2C82" w:rsidRDefault="00DF751D">
      <w:pPr>
        <w:spacing w:line="360" w:lineRule="auto"/>
        <w:ind w:left="2124"/>
        <w:jc w:val="both"/>
        <w:rPr>
          <w:rFonts w:ascii="Arial" w:hAnsi="Arial" w:cs="Arial"/>
          <w:color w:val="FF00FF"/>
          <w:sz w:val="22"/>
        </w:rPr>
      </w:pPr>
      <w:r>
        <w:rPr>
          <w:rFonts w:ascii="Arial" w:hAnsi="Arial" w:cs="Arial"/>
          <w:color w:val="FF00FF"/>
          <w:sz w:val="22"/>
        </w:rPr>
        <w:t>C – La cession des titres transférés</w:t>
      </w:r>
    </w:p>
    <w:p w:rsidR="00AA2C82" w:rsidRDefault="00DF751D">
      <w:pPr>
        <w:spacing w:line="360" w:lineRule="auto"/>
        <w:jc w:val="both"/>
        <w:rPr>
          <w:rFonts w:ascii="Arial" w:hAnsi="Arial" w:cs="Arial"/>
          <w:sz w:val="22"/>
        </w:rPr>
      </w:pPr>
      <w:r>
        <w:rPr>
          <w:rFonts w:ascii="Arial" w:hAnsi="Arial" w:cs="Arial"/>
          <w:sz w:val="22"/>
        </w:rPr>
        <w:t>Résultat de cession = prix de cession – dernière valeur de transfert</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sz w:val="22"/>
        </w:rPr>
      </w:pPr>
      <w:r>
        <w:rPr>
          <w:rFonts w:ascii="Arial" w:hAnsi="Arial" w:cs="Arial"/>
          <w:sz w:val="22"/>
          <w:u w:val="single"/>
        </w:rPr>
        <w:t>Fiscalité </w:t>
      </w:r>
      <w:r>
        <w:rPr>
          <w:rFonts w:ascii="Arial" w:hAnsi="Arial" w:cs="Arial"/>
          <w:sz w:val="22"/>
        </w:rPr>
        <w:t>: le résultat de cession est imposé suivant le régime fiscal dont dépend le titre lors de la cession.</w:t>
      </w:r>
    </w:p>
    <w:p w:rsidR="00AA2C82" w:rsidRDefault="00DF751D">
      <w:pPr>
        <w:spacing w:line="360" w:lineRule="auto"/>
        <w:jc w:val="both"/>
        <w:rPr>
          <w:rFonts w:ascii="Arial" w:hAnsi="Arial" w:cs="Arial"/>
          <w:color w:val="FF00FF"/>
          <w:sz w:val="32"/>
        </w:rPr>
      </w:pPr>
      <w:r>
        <w:rPr>
          <w:rFonts w:ascii="Arial" w:hAnsi="Arial" w:cs="Arial"/>
          <w:sz w:val="22"/>
        </w:rPr>
        <w:br w:type="page"/>
      </w:r>
      <w:r>
        <w:rPr>
          <w:rFonts w:ascii="Arial" w:hAnsi="Arial" w:cs="Arial"/>
          <w:color w:val="FF00FF"/>
          <w:sz w:val="32"/>
        </w:rPr>
        <w:lastRenderedPageBreak/>
        <w:t>Chapitre 4 : Les revenus des titres</w:t>
      </w:r>
    </w:p>
    <w:p w:rsidR="00AA2C82" w:rsidRDefault="00DF751D">
      <w:pPr>
        <w:spacing w:line="360" w:lineRule="auto"/>
        <w:jc w:val="both"/>
        <w:rPr>
          <w:rFonts w:ascii="Arial" w:hAnsi="Arial" w:cs="Arial"/>
          <w:color w:val="FF00FF"/>
          <w:sz w:val="28"/>
        </w:rPr>
      </w:pPr>
      <w:r>
        <w:rPr>
          <w:rFonts w:ascii="Arial" w:hAnsi="Arial" w:cs="Arial"/>
          <w:sz w:val="22"/>
        </w:rPr>
        <w:tab/>
      </w:r>
      <w:r>
        <w:rPr>
          <w:rFonts w:ascii="Arial" w:hAnsi="Arial" w:cs="Arial"/>
          <w:color w:val="FF00FF"/>
          <w:sz w:val="28"/>
        </w:rPr>
        <w:t>Section 1 : Les dividendes</w:t>
      </w:r>
    </w:p>
    <w:p w:rsidR="00AA2C82" w:rsidRDefault="00DF751D">
      <w:pPr>
        <w:spacing w:line="360" w:lineRule="auto"/>
        <w:jc w:val="both"/>
        <w:rPr>
          <w:rFonts w:ascii="Arial" w:hAnsi="Arial" w:cs="Arial"/>
          <w:sz w:val="22"/>
        </w:rPr>
      </w:pPr>
      <w:r>
        <w:rPr>
          <w:rFonts w:ascii="Arial" w:hAnsi="Arial" w:cs="Arial"/>
          <w:sz w:val="22"/>
        </w:rPr>
        <w:t xml:space="preserve">Ils correspondent au produit des participations. Ils sont </w:t>
      </w:r>
      <w:r>
        <w:rPr>
          <w:rFonts w:ascii="Arial" w:hAnsi="Arial" w:cs="Arial"/>
          <w:b/>
          <w:bCs/>
          <w:sz w:val="22"/>
        </w:rPr>
        <w:t>imposables lors de leur acquisition</w:t>
      </w:r>
      <w:r>
        <w:rPr>
          <w:rFonts w:ascii="Arial" w:hAnsi="Arial" w:cs="Arial"/>
          <w:sz w:val="22"/>
        </w:rPr>
        <w:t xml:space="preserve"> et non de leur perception. Deux régimes :</w:t>
      </w:r>
    </w:p>
    <w:p w:rsidR="00AA2C82" w:rsidRDefault="00DF751D">
      <w:pPr>
        <w:numPr>
          <w:ilvl w:val="0"/>
          <w:numId w:val="2"/>
        </w:numPr>
        <w:spacing w:line="360" w:lineRule="auto"/>
        <w:jc w:val="both"/>
        <w:rPr>
          <w:rFonts w:ascii="Arial" w:hAnsi="Arial" w:cs="Arial"/>
          <w:sz w:val="22"/>
        </w:rPr>
      </w:pPr>
      <w:r>
        <w:rPr>
          <w:rFonts w:ascii="Arial" w:hAnsi="Arial" w:cs="Arial"/>
          <w:b/>
          <w:bCs/>
          <w:sz w:val="22"/>
        </w:rPr>
        <w:t>droit commun</w:t>
      </w:r>
      <w:r>
        <w:rPr>
          <w:rFonts w:ascii="Arial" w:hAnsi="Arial" w:cs="Arial"/>
          <w:sz w:val="22"/>
        </w:rPr>
        <w:t> : imposable à 33</w:t>
      </w:r>
      <w:r>
        <w:rPr>
          <w:rFonts w:ascii="Arial" w:hAnsi="Arial" w:cs="Arial"/>
          <w:sz w:val="22"/>
          <w:vertAlign w:val="superscript"/>
        </w:rPr>
        <w:t>1/3</w:t>
      </w:r>
      <w:r>
        <w:rPr>
          <w:rFonts w:ascii="Arial" w:hAnsi="Arial" w:cs="Arial"/>
          <w:sz w:val="22"/>
        </w:rPr>
        <w:t>% ou 15% pour les PME jusqu’à 38 120 €</w:t>
      </w:r>
    </w:p>
    <w:p w:rsidR="00AA2C82" w:rsidRDefault="00DF751D">
      <w:pPr>
        <w:numPr>
          <w:ilvl w:val="0"/>
          <w:numId w:val="2"/>
        </w:numPr>
        <w:spacing w:line="360" w:lineRule="auto"/>
        <w:jc w:val="both"/>
        <w:rPr>
          <w:rFonts w:ascii="Arial" w:hAnsi="Arial" w:cs="Arial"/>
          <w:sz w:val="22"/>
        </w:rPr>
      </w:pPr>
      <w:r>
        <w:rPr>
          <w:rFonts w:ascii="Arial" w:hAnsi="Arial" w:cs="Arial"/>
          <w:b/>
          <w:bCs/>
          <w:sz w:val="22"/>
        </w:rPr>
        <w:t>régime des sociétés mères et filles</w:t>
      </w:r>
      <w:r>
        <w:rPr>
          <w:rFonts w:ascii="Arial" w:hAnsi="Arial" w:cs="Arial"/>
          <w:sz w:val="22"/>
        </w:rPr>
        <w:t> : le produit du dividende n’est pas imposable à l’exception d’une QP de frais = 5% du dividende.</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sz w:val="22"/>
        </w:rPr>
      </w:pPr>
      <w:r>
        <w:rPr>
          <w:rFonts w:ascii="Arial" w:hAnsi="Arial" w:cs="Arial"/>
          <w:sz w:val="22"/>
        </w:rPr>
        <w:t xml:space="preserve">Pour les </w:t>
      </w:r>
      <w:r>
        <w:rPr>
          <w:rFonts w:ascii="Arial" w:hAnsi="Arial" w:cs="Arial"/>
          <w:b/>
          <w:bCs/>
          <w:sz w:val="22"/>
        </w:rPr>
        <w:t>personnes physiques</w:t>
      </w:r>
      <w:r>
        <w:rPr>
          <w:rFonts w:ascii="Arial" w:hAnsi="Arial" w:cs="Arial"/>
          <w:sz w:val="22"/>
        </w:rPr>
        <w:t xml:space="preserve">, le dividende perçu est </w:t>
      </w:r>
      <w:r>
        <w:rPr>
          <w:rFonts w:ascii="Arial" w:hAnsi="Arial" w:cs="Arial"/>
          <w:b/>
          <w:bCs/>
          <w:sz w:val="22"/>
        </w:rPr>
        <w:t>imposé qu’après décote de 50%.</w:t>
      </w:r>
      <w:r>
        <w:rPr>
          <w:rFonts w:ascii="Arial" w:hAnsi="Arial" w:cs="Arial"/>
          <w:sz w:val="22"/>
        </w:rPr>
        <w:t xml:space="preserve"> Il faut ajouter à cela la CSG et la CRDS dont le taux = 11% et qui s’applique au dividende sans décote de 50%.</w:t>
      </w:r>
    </w:p>
    <w:p w:rsidR="00AA2C82" w:rsidRDefault="00AA2C82">
      <w:pPr>
        <w:spacing w:line="360" w:lineRule="auto"/>
        <w:jc w:val="both"/>
        <w:rPr>
          <w:rFonts w:ascii="Arial" w:hAnsi="Arial" w:cs="Arial"/>
          <w:sz w:val="22"/>
        </w:rPr>
      </w:pPr>
    </w:p>
    <w:p w:rsidR="00AA2C82" w:rsidRDefault="00DF751D">
      <w:pPr>
        <w:spacing w:line="360" w:lineRule="auto"/>
        <w:jc w:val="both"/>
        <w:rPr>
          <w:rFonts w:ascii="Arial" w:hAnsi="Arial" w:cs="Arial"/>
          <w:sz w:val="22"/>
        </w:rPr>
      </w:pPr>
      <w:r>
        <w:rPr>
          <w:rFonts w:ascii="Arial" w:hAnsi="Arial" w:cs="Arial"/>
          <w:sz w:val="22"/>
        </w:rPr>
        <w:t>Conséquences pour la société qui distribue :</w:t>
      </w:r>
    </w:p>
    <w:p w:rsidR="00AA2C82" w:rsidRDefault="00DF751D">
      <w:pPr>
        <w:numPr>
          <w:ilvl w:val="0"/>
          <w:numId w:val="2"/>
        </w:numPr>
        <w:spacing w:line="360" w:lineRule="auto"/>
        <w:jc w:val="both"/>
        <w:rPr>
          <w:rFonts w:ascii="Arial" w:hAnsi="Arial" w:cs="Arial"/>
          <w:sz w:val="22"/>
        </w:rPr>
      </w:pPr>
      <w:r>
        <w:rPr>
          <w:rFonts w:ascii="Arial" w:hAnsi="Arial" w:cs="Arial"/>
          <w:b/>
          <w:bCs/>
          <w:sz w:val="22"/>
        </w:rPr>
        <w:t>En 2005</w:t>
      </w:r>
      <w:r>
        <w:rPr>
          <w:rFonts w:ascii="Arial" w:hAnsi="Arial" w:cs="Arial"/>
          <w:sz w:val="22"/>
        </w:rPr>
        <w:t> : si on distribue des réserves ou résultats de moins de 5 ans, pas de précompte comme avant. Si on distribue des réserves de plus de 5 ans, prélèvement exceptionnel de 25% sur les sommes distribuées. Ce prélèvement constitue une créance sur le Trésor, imputable par 1/3 sur l’impôt des années 2005 à 2007 ou remboursables par 1/3 si cet impôt ne suffit pas.</w:t>
      </w:r>
    </w:p>
    <w:p w:rsidR="00DF751D" w:rsidRDefault="00DF751D">
      <w:pPr>
        <w:pStyle w:val="BodyText"/>
      </w:pPr>
      <w:r>
        <w:rPr>
          <w:b/>
          <w:bCs/>
        </w:rPr>
        <w:t>A partir de 2006</w:t>
      </w:r>
      <w:r>
        <w:t xml:space="preserve"> : </w:t>
      </w:r>
      <w:proofErr w:type="spellStart"/>
      <w:r>
        <w:t>quelque</w:t>
      </w:r>
      <w:proofErr w:type="spellEnd"/>
      <w:r>
        <w:t xml:space="preserve"> soit la distribution, disparition du précompte ou de quelques prélèvements que ce soit.</w:t>
      </w:r>
    </w:p>
    <w:sectPr w:rsidR="00DF751D" w:rsidSect="00C157CD">
      <w:headerReference w:type="default" r:id="rId8"/>
      <w:pgSz w:w="11906" w:h="16838"/>
      <w:pgMar w:top="426"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53B" w:rsidRDefault="002F453B">
      <w:r>
        <w:separator/>
      </w:r>
    </w:p>
  </w:endnote>
  <w:endnote w:type="continuationSeparator" w:id="0">
    <w:p w:rsidR="002F453B" w:rsidRDefault="002F4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53B" w:rsidRDefault="002F453B">
      <w:r>
        <w:separator/>
      </w:r>
    </w:p>
  </w:footnote>
  <w:footnote w:type="continuationSeparator" w:id="0">
    <w:p w:rsidR="002F453B" w:rsidRDefault="002F4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C82" w:rsidRDefault="00DF751D">
    <w:pPr>
      <w:pStyle w:val="Header"/>
      <w:jc w:val="right"/>
      <w:rPr>
        <w:rFonts w:ascii="Arial" w:hAnsi="Arial" w:cs="Arial"/>
        <w:i/>
        <w:iCs/>
        <w:sz w:val="22"/>
      </w:rPr>
    </w:pPr>
    <w:r>
      <w:rPr>
        <w:rFonts w:ascii="Arial" w:hAnsi="Arial" w:cs="Arial"/>
        <w:i/>
        <w:iCs/>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489"/>
    <w:multiLevelType w:val="hybridMultilevel"/>
    <w:tmpl w:val="06C62D4C"/>
    <w:lvl w:ilvl="0" w:tplc="31AE363C">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48A53C5"/>
    <w:multiLevelType w:val="hybridMultilevel"/>
    <w:tmpl w:val="F57E7636"/>
    <w:lvl w:ilvl="0" w:tplc="7578EB4E">
      <w:start w:val="1011"/>
      <w:numFmt w:val="decimal"/>
      <w:lvlText w:val="%1"/>
      <w:lvlJc w:val="left"/>
      <w:pPr>
        <w:tabs>
          <w:tab w:val="num" w:pos="1368"/>
        </w:tabs>
        <w:ind w:left="1368" w:hanging="660"/>
      </w:pPr>
      <w:rPr>
        <w:rFonts w:hint="default"/>
        <w:b w:val="0"/>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
    <w:nsid w:val="0A4242AF"/>
    <w:multiLevelType w:val="hybridMultilevel"/>
    <w:tmpl w:val="26447CAE"/>
    <w:lvl w:ilvl="0" w:tplc="17D6BDF0">
      <w:start w:val="51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E59684E"/>
    <w:multiLevelType w:val="hybridMultilevel"/>
    <w:tmpl w:val="3D2C2760"/>
    <w:lvl w:ilvl="0" w:tplc="FA344E40">
      <w:start w:val="4563"/>
      <w:numFmt w:val="decimal"/>
      <w:lvlText w:val="%1"/>
      <w:lvlJc w:val="left"/>
      <w:pPr>
        <w:tabs>
          <w:tab w:val="num" w:pos="1428"/>
        </w:tabs>
        <w:ind w:left="1428" w:hanging="72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4">
    <w:nsid w:val="225D70BD"/>
    <w:multiLevelType w:val="hybridMultilevel"/>
    <w:tmpl w:val="E0827D90"/>
    <w:lvl w:ilvl="0" w:tplc="F2FC3910">
      <w:start w:val="2013"/>
      <w:numFmt w:val="decimal"/>
      <w:lvlText w:val="%1"/>
      <w:lvlJc w:val="left"/>
      <w:pPr>
        <w:tabs>
          <w:tab w:val="num" w:pos="960"/>
        </w:tabs>
        <w:ind w:left="960" w:hanging="600"/>
      </w:pPr>
      <w:rPr>
        <w:rFonts w:hint="default"/>
        <w:b w:val="0"/>
      </w:rPr>
    </w:lvl>
    <w:lvl w:ilvl="1" w:tplc="7B5E55D2">
      <w:start w:val="1"/>
      <w:numFmt w:val="upperRoman"/>
      <w:lvlText w:val="%2-"/>
      <w:lvlJc w:val="left"/>
      <w:pPr>
        <w:tabs>
          <w:tab w:val="num" w:pos="1800"/>
        </w:tabs>
        <w:ind w:left="1800" w:hanging="72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240478E7"/>
    <w:multiLevelType w:val="hybridMultilevel"/>
    <w:tmpl w:val="E8F221EE"/>
    <w:lvl w:ilvl="0" w:tplc="CC3E2384">
      <w:start w:val="51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58B56C4C"/>
    <w:multiLevelType w:val="hybridMultilevel"/>
    <w:tmpl w:val="DBFCEA14"/>
    <w:lvl w:ilvl="0" w:tplc="AE5A42E0">
      <w:start w:val="109"/>
      <w:numFmt w:val="decimal"/>
      <w:lvlText w:val="%1"/>
      <w:lvlJc w:val="left"/>
      <w:pPr>
        <w:tabs>
          <w:tab w:val="num" w:pos="915"/>
        </w:tabs>
        <w:ind w:left="915" w:hanging="555"/>
      </w:pPr>
      <w:rPr>
        <w:rFonts w:hint="default"/>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5CDD5D3D"/>
    <w:multiLevelType w:val="hybridMultilevel"/>
    <w:tmpl w:val="820EEB9A"/>
    <w:lvl w:ilvl="0" w:tplc="2DA2EA72">
      <w:start w:val="1"/>
      <w:numFmt w:val="upperRoman"/>
      <w:lvlText w:val="%1-"/>
      <w:lvlJc w:val="left"/>
      <w:pPr>
        <w:tabs>
          <w:tab w:val="num" w:pos="1080"/>
        </w:tabs>
        <w:ind w:left="1080" w:hanging="72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61122BD8"/>
    <w:multiLevelType w:val="hybridMultilevel"/>
    <w:tmpl w:val="22744896"/>
    <w:lvl w:ilvl="0" w:tplc="13EEEE28">
      <w:start w:val="1"/>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nsid w:val="67835EFE"/>
    <w:multiLevelType w:val="hybridMultilevel"/>
    <w:tmpl w:val="38A20178"/>
    <w:lvl w:ilvl="0" w:tplc="43104CF8">
      <w:start w:val="1688"/>
      <w:numFmt w:val="bullet"/>
      <w:lvlText w:val=""/>
      <w:lvlJc w:val="left"/>
      <w:pPr>
        <w:tabs>
          <w:tab w:val="num" w:pos="720"/>
        </w:tabs>
        <w:ind w:left="720" w:hanging="360"/>
      </w:pPr>
      <w:rPr>
        <w:rFonts w:ascii="Wingdings" w:eastAsia="Times New Roman" w:hAnsi="Wingding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A5468F9"/>
    <w:multiLevelType w:val="hybridMultilevel"/>
    <w:tmpl w:val="03227D94"/>
    <w:lvl w:ilvl="0" w:tplc="7B366248">
      <w:start w:val="512"/>
      <w:numFmt w:val="decimal"/>
      <w:lvlText w:val="%1"/>
      <w:lvlJc w:val="left"/>
      <w:pPr>
        <w:tabs>
          <w:tab w:val="num" w:pos="960"/>
        </w:tabs>
        <w:ind w:left="960" w:hanging="60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71577635"/>
    <w:multiLevelType w:val="hybridMultilevel"/>
    <w:tmpl w:val="A678EA2C"/>
    <w:lvl w:ilvl="0" w:tplc="E32CBA9C">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DE75C06"/>
    <w:multiLevelType w:val="hybridMultilevel"/>
    <w:tmpl w:val="7B34EBB6"/>
    <w:lvl w:ilvl="0" w:tplc="34A07044">
      <w:start w:val="51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7"/>
  </w:num>
  <w:num w:numId="4">
    <w:abstractNumId w:val="0"/>
  </w:num>
  <w:num w:numId="5">
    <w:abstractNumId w:val="10"/>
  </w:num>
  <w:num w:numId="6">
    <w:abstractNumId w:val="2"/>
  </w:num>
  <w:num w:numId="7">
    <w:abstractNumId w:val="3"/>
  </w:num>
  <w:num w:numId="8">
    <w:abstractNumId w:val="6"/>
  </w:num>
  <w:num w:numId="9">
    <w:abstractNumId w:val="5"/>
  </w:num>
  <w:num w:numId="10">
    <w:abstractNumId w:val="12"/>
  </w:num>
  <w:num w:numId="11">
    <w:abstractNumId w:val="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0EE"/>
    <w:rsid w:val="002F453B"/>
    <w:rsid w:val="007E20EE"/>
    <w:rsid w:val="00AA2C82"/>
    <w:rsid w:val="00C157CD"/>
    <w:rsid w:val="00DF75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both"/>
      <w:outlineLvl w:val="0"/>
    </w:pPr>
    <w:rPr>
      <w:rFonts w:ascii="Arial" w:hAnsi="Arial" w:cs="Arial"/>
      <w:b/>
      <w:bCs/>
      <w:color w:val="0066FF"/>
      <w:sz w:val="32"/>
    </w:rPr>
  </w:style>
  <w:style w:type="paragraph" w:styleId="Heading2">
    <w:name w:val="heading 2"/>
    <w:basedOn w:val="Normal"/>
    <w:next w:val="Normal"/>
    <w:qFormat/>
    <w:pPr>
      <w:keepNext/>
      <w:spacing w:line="360" w:lineRule="auto"/>
      <w:jc w:val="both"/>
      <w:outlineLvl w:val="1"/>
    </w:pPr>
    <w:rPr>
      <w:rFonts w:ascii="Arial" w:hAnsi="Arial" w:cs="Arial"/>
      <w:color w:val="00CCFF"/>
      <w:sz w:val="32"/>
    </w:rPr>
  </w:style>
  <w:style w:type="paragraph" w:styleId="Heading3">
    <w:name w:val="heading 3"/>
    <w:basedOn w:val="Normal"/>
    <w:next w:val="Normal"/>
    <w:qFormat/>
    <w:pPr>
      <w:keepNext/>
      <w:spacing w:line="360" w:lineRule="auto"/>
      <w:jc w:val="both"/>
      <w:outlineLvl w:val="2"/>
    </w:pPr>
    <w:rPr>
      <w:rFonts w:ascii="Arial" w:hAnsi="Arial" w:cs="Arial"/>
      <w:color w:val="FF00FF"/>
      <w:sz w:val="28"/>
    </w:rPr>
  </w:style>
  <w:style w:type="paragraph" w:styleId="Heading4">
    <w:name w:val="heading 4"/>
    <w:basedOn w:val="Normal"/>
    <w:next w:val="Normal"/>
    <w:qFormat/>
    <w:pPr>
      <w:keepNext/>
      <w:outlineLvl w:val="3"/>
    </w:pPr>
    <w:rPr>
      <w:rFonts w:ascii="Arial" w:hAnsi="Arial" w:cs="Arial"/>
      <w:bCs/>
      <w:color w:val="FF00FF"/>
      <w:sz w:val="32"/>
      <w:szCs w:val="32"/>
    </w:rPr>
  </w:style>
  <w:style w:type="paragraph" w:styleId="Heading5">
    <w:name w:val="heading 5"/>
    <w:basedOn w:val="Normal"/>
    <w:next w:val="Normal"/>
    <w:qFormat/>
    <w:pPr>
      <w:keepNext/>
      <w:spacing w:line="360" w:lineRule="auto"/>
      <w:jc w:val="both"/>
      <w:outlineLvl w:val="4"/>
    </w:pPr>
    <w:rPr>
      <w:rFonts w:ascii="Arial" w:hAnsi="Arial" w:cs="Arial"/>
      <w:b/>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color w:val="FF0000"/>
      <w:sz w:val="28"/>
    </w:rPr>
  </w:style>
  <w:style w:type="paragraph" w:styleId="BodyTextIndent">
    <w:name w:val="Body Text Indent"/>
    <w:basedOn w:val="Normal"/>
    <w:semiHidden/>
    <w:pPr>
      <w:spacing w:line="360" w:lineRule="auto"/>
      <w:ind w:firstLine="708"/>
      <w:jc w:val="both"/>
    </w:pPr>
    <w:rPr>
      <w:rFonts w:ascii="Arial" w:hAnsi="Arial" w:cs="Arial"/>
      <w:sz w:val="22"/>
    </w:rPr>
  </w:style>
  <w:style w:type="paragraph" w:styleId="BodyText">
    <w:name w:val="Body Text"/>
    <w:basedOn w:val="Normal"/>
    <w:semiHidden/>
    <w:pPr>
      <w:spacing w:line="360" w:lineRule="auto"/>
      <w:jc w:val="both"/>
    </w:pPr>
    <w:rPr>
      <w:rFonts w:ascii="Arial" w:hAnsi="Arial" w:cs="Arial"/>
      <w:sz w:val="22"/>
    </w:rPr>
  </w:style>
  <w:style w:type="paragraph" w:styleId="Subtitle">
    <w:name w:val="Subtitle"/>
    <w:basedOn w:val="Normal"/>
    <w:qFormat/>
    <w:pPr>
      <w:spacing w:line="360" w:lineRule="auto"/>
      <w:jc w:val="both"/>
    </w:pPr>
    <w:rPr>
      <w:rFonts w:ascii="Arial" w:hAnsi="Arial" w:cs="Arial"/>
      <w:color w:val="00CCFF"/>
      <w:sz w:val="32"/>
    </w:rPr>
  </w:style>
  <w:style w:type="paragraph" w:styleId="BodyText2">
    <w:name w:val="Body Text 2"/>
    <w:basedOn w:val="Normal"/>
    <w:semiHidden/>
    <w:pPr>
      <w:spacing w:line="360" w:lineRule="auto"/>
      <w:jc w:val="both"/>
    </w:pPr>
    <w:rPr>
      <w:rFonts w:ascii="Arial" w:hAnsi="Arial" w:cs="Arial"/>
      <w:color w:val="00CCFF"/>
      <w:sz w:val="32"/>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Indent2">
    <w:name w:val="Body Text Indent 2"/>
    <w:basedOn w:val="Normal"/>
    <w:semiHidden/>
    <w:pPr>
      <w:spacing w:line="360" w:lineRule="auto"/>
      <w:ind w:left="1416"/>
      <w:jc w:val="both"/>
    </w:pPr>
    <w:rPr>
      <w:rFonts w:ascii="Arial" w:hAnsi="Arial" w:cs="Arial"/>
      <w:color w:val="FF00FF"/>
    </w:rPr>
  </w:style>
  <w:style w:type="paragraph" w:customStyle="1" w:styleId="Corps">
    <w:name w:val="Corps"/>
    <w:basedOn w:val="Normal"/>
    <w:pPr>
      <w:jc w:val="both"/>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both"/>
      <w:outlineLvl w:val="0"/>
    </w:pPr>
    <w:rPr>
      <w:rFonts w:ascii="Arial" w:hAnsi="Arial" w:cs="Arial"/>
      <w:b/>
      <w:bCs/>
      <w:color w:val="0066FF"/>
      <w:sz w:val="32"/>
    </w:rPr>
  </w:style>
  <w:style w:type="paragraph" w:styleId="Heading2">
    <w:name w:val="heading 2"/>
    <w:basedOn w:val="Normal"/>
    <w:next w:val="Normal"/>
    <w:qFormat/>
    <w:pPr>
      <w:keepNext/>
      <w:spacing w:line="360" w:lineRule="auto"/>
      <w:jc w:val="both"/>
      <w:outlineLvl w:val="1"/>
    </w:pPr>
    <w:rPr>
      <w:rFonts w:ascii="Arial" w:hAnsi="Arial" w:cs="Arial"/>
      <w:color w:val="00CCFF"/>
      <w:sz w:val="32"/>
    </w:rPr>
  </w:style>
  <w:style w:type="paragraph" w:styleId="Heading3">
    <w:name w:val="heading 3"/>
    <w:basedOn w:val="Normal"/>
    <w:next w:val="Normal"/>
    <w:qFormat/>
    <w:pPr>
      <w:keepNext/>
      <w:spacing w:line="360" w:lineRule="auto"/>
      <w:jc w:val="both"/>
      <w:outlineLvl w:val="2"/>
    </w:pPr>
    <w:rPr>
      <w:rFonts w:ascii="Arial" w:hAnsi="Arial" w:cs="Arial"/>
      <w:color w:val="FF00FF"/>
      <w:sz w:val="28"/>
    </w:rPr>
  </w:style>
  <w:style w:type="paragraph" w:styleId="Heading4">
    <w:name w:val="heading 4"/>
    <w:basedOn w:val="Normal"/>
    <w:next w:val="Normal"/>
    <w:qFormat/>
    <w:pPr>
      <w:keepNext/>
      <w:outlineLvl w:val="3"/>
    </w:pPr>
    <w:rPr>
      <w:rFonts w:ascii="Arial" w:hAnsi="Arial" w:cs="Arial"/>
      <w:bCs/>
      <w:color w:val="FF00FF"/>
      <w:sz w:val="32"/>
      <w:szCs w:val="32"/>
    </w:rPr>
  </w:style>
  <w:style w:type="paragraph" w:styleId="Heading5">
    <w:name w:val="heading 5"/>
    <w:basedOn w:val="Normal"/>
    <w:next w:val="Normal"/>
    <w:qFormat/>
    <w:pPr>
      <w:keepNext/>
      <w:spacing w:line="360" w:lineRule="auto"/>
      <w:jc w:val="both"/>
      <w:outlineLvl w:val="4"/>
    </w:pPr>
    <w:rPr>
      <w:rFonts w:ascii="Arial" w:hAnsi="Arial" w:cs="Arial"/>
      <w:b/>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color w:val="FF0000"/>
      <w:sz w:val="28"/>
    </w:rPr>
  </w:style>
  <w:style w:type="paragraph" w:styleId="BodyTextIndent">
    <w:name w:val="Body Text Indent"/>
    <w:basedOn w:val="Normal"/>
    <w:semiHidden/>
    <w:pPr>
      <w:spacing w:line="360" w:lineRule="auto"/>
      <w:ind w:firstLine="708"/>
      <w:jc w:val="both"/>
    </w:pPr>
    <w:rPr>
      <w:rFonts w:ascii="Arial" w:hAnsi="Arial" w:cs="Arial"/>
      <w:sz w:val="22"/>
    </w:rPr>
  </w:style>
  <w:style w:type="paragraph" w:styleId="BodyText">
    <w:name w:val="Body Text"/>
    <w:basedOn w:val="Normal"/>
    <w:semiHidden/>
    <w:pPr>
      <w:spacing w:line="360" w:lineRule="auto"/>
      <w:jc w:val="both"/>
    </w:pPr>
    <w:rPr>
      <w:rFonts w:ascii="Arial" w:hAnsi="Arial" w:cs="Arial"/>
      <w:sz w:val="22"/>
    </w:rPr>
  </w:style>
  <w:style w:type="paragraph" w:styleId="Subtitle">
    <w:name w:val="Subtitle"/>
    <w:basedOn w:val="Normal"/>
    <w:qFormat/>
    <w:pPr>
      <w:spacing w:line="360" w:lineRule="auto"/>
      <w:jc w:val="both"/>
    </w:pPr>
    <w:rPr>
      <w:rFonts w:ascii="Arial" w:hAnsi="Arial" w:cs="Arial"/>
      <w:color w:val="00CCFF"/>
      <w:sz w:val="32"/>
    </w:rPr>
  </w:style>
  <w:style w:type="paragraph" w:styleId="BodyText2">
    <w:name w:val="Body Text 2"/>
    <w:basedOn w:val="Normal"/>
    <w:semiHidden/>
    <w:pPr>
      <w:spacing w:line="360" w:lineRule="auto"/>
      <w:jc w:val="both"/>
    </w:pPr>
    <w:rPr>
      <w:rFonts w:ascii="Arial" w:hAnsi="Arial" w:cs="Arial"/>
      <w:color w:val="00CCFF"/>
      <w:sz w:val="32"/>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Indent2">
    <w:name w:val="Body Text Indent 2"/>
    <w:basedOn w:val="Normal"/>
    <w:semiHidden/>
    <w:pPr>
      <w:spacing w:line="360" w:lineRule="auto"/>
      <w:ind w:left="1416"/>
      <w:jc w:val="both"/>
    </w:pPr>
    <w:rPr>
      <w:rFonts w:ascii="Arial" w:hAnsi="Arial" w:cs="Arial"/>
      <w:color w:val="FF00FF"/>
    </w:rPr>
  </w:style>
  <w:style w:type="paragraph" w:customStyle="1" w:styleId="Corps">
    <w:name w:val="Corps"/>
    <w:basedOn w:val="Normal"/>
    <w:pPr>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6763</Words>
  <Characters>37198</Characters>
  <Application>Microsoft Office Word</Application>
  <DocSecurity>0</DocSecurity>
  <Lines>309</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FAC</Company>
  <LinksUpToDate>false</LinksUpToDate>
  <CharactersWithSpaces>43874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4</cp:revision>
  <dcterms:created xsi:type="dcterms:W3CDTF">2014-05-08T14:56:00Z</dcterms:created>
  <dcterms:modified xsi:type="dcterms:W3CDTF">2014-05-08T14:57:00Z</dcterms:modified>
</cp:coreProperties>
</file>