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19" w:rsidRPr="00806FB8" w:rsidRDefault="00085E19" w:rsidP="00085E19">
      <w:pPr>
        <w:jc w:val="left"/>
        <w:rPr>
          <w:b/>
          <w:bCs/>
          <w:color w:val="00B0F0"/>
          <w:sz w:val="40"/>
          <w:szCs w:val="72"/>
          <w:u w:val="single"/>
        </w:rPr>
      </w:pPr>
      <w:r w:rsidRPr="00806FB8">
        <w:rPr>
          <w:b/>
          <w:bCs/>
          <w:color w:val="00B0F0"/>
          <w:sz w:val="40"/>
          <w:szCs w:val="72"/>
          <w:u w:val="single"/>
        </w:rPr>
        <w:t>Cours de contrôle de gestion appliqué à l'assurance</w:t>
      </w:r>
    </w:p>
    <w:p w:rsidR="00346BAC" w:rsidRDefault="00346BAC" w:rsidP="00346BAC">
      <w:pPr>
        <w:jc w:val="left"/>
      </w:pPr>
    </w:p>
    <w:p w:rsidR="000028E7" w:rsidRPr="00346BAC" w:rsidRDefault="000028E7" w:rsidP="00734AA7">
      <w:pPr>
        <w:pBdr>
          <w:top w:val="single" w:sz="4" w:space="1" w:color="auto"/>
          <w:left w:val="single" w:sz="4" w:space="4" w:color="auto"/>
          <w:bottom w:val="single" w:sz="4" w:space="1" w:color="auto"/>
          <w:right w:val="single" w:sz="4" w:space="4" w:color="auto"/>
        </w:pBdr>
        <w:jc w:val="center"/>
      </w:pPr>
      <w:bookmarkStart w:id="0" w:name="_Toc351126721"/>
      <w:r w:rsidRPr="00A83B39">
        <w:rPr>
          <w:sz w:val="28"/>
        </w:rPr>
        <w:t>Partie 1 : Méthode de calcul des couts d’une compagnie d’assurance</w:t>
      </w:r>
      <w:bookmarkEnd w:id="0"/>
    </w:p>
    <w:p w:rsidR="00A50483" w:rsidRPr="00A83B39" w:rsidRDefault="00A50483" w:rsidP="00A50483">
      <w:pPr>
        <w:ind w:left="360"/>
        <w:rPr>
          <w:sz w:val="28"/>
        </w:rPr>
      </w:pPr>
    </w:p>
    <w:p w:rsidR="003E6724" w:rsidRDefault="003E6724" w:rsidP="003A04FA">
      <w:pPr>
        <w:rPr>
          <w:rFonts w:ascii="TimesNewRoman" w:hAnsi="TimesNewRoman" w:cs="TimesNewRoman"/>
          <w:sz w:val="24"/>
          <w:szCs w:val="24"/>
        </w:rPr>
      </w:pPr>
      <w:r w:rsidRPr="00A83B39">
        <w:rPr>
          <w:rFonts w:ascii="TimesNewRoman" w:hAnsi="TimesNewRoman" w:cs="TimesNewRoman"/>
          <w:sz w:val="24"/>
          <w:szCs w:val="24"/>
        </w:rPr>
        <w:t>Cette par</w:t>
      </w:r>
      <w:r w:rsidR="003A04FA" w:rsidRPr="00A83B39">
        <w:rPr>
          <w:rFonts w:ascii="TimesNewRoman" w:hAnsi="TimesNewRoman" w:cs="TimesNewRoman"/>
          <w:sz w:val="24"/>
          <w:szCs w:val="24"/>
        </w:rPr>
        <w:t>tie a pour objectif d'introduire les éléments fondamentaux du contrôle de gestion</w:t>
      </w:r>
      <w:r w:rsidR="00563052" w:rsidRPr="00A83B39">
        <w:rPr>
          <w:rFonts w:ascii="TimesNewRoman" w:hAnsi="TimesNewRoman" w:cs="TimesNewRoman"/>
          <w:sz w:val="24"/>
          <w:szCs w:val="24"/>
        </w:rPr>
        <w:t xml:space="preserve"> et de les appliquer au monde assurantiel</w:t>
      </w:r>
      <w:r w:rsidR="003A04FA" w:rsidRPr="00A83B39">
        <w:rPr>
          <w:rFonts w:ascii="TimesNewRoman" w:hAnsi="TimesNewRoman" w:cs="TimesNewRoman"/>
          <w:sz w:val="24"/>
          <w:szCs w:val="24"/>
        </w:rPr>
        <w:t>.</w:t>
      </w:r>
    </w:p>
    <w:p w:rsidR="00346BAC" w:rsidRDefault="00346BAC" w:rsidP="003A04FA">
      <w:pPr>
        <w:rPr>
          <w:rFonts w:ascii="TimesNewRoman" w:hAnsi="TimesNewRoman" w:cs="TimesNewRoman"/>
          <w:sz w:val="24"/>
          <w:szCs w:val="24"/>
        </w:rPr>
      </w:pPr>
    </w:p>
    <w:p w:rsidR="00346BAC" w:rsidRDefault="00346BAC" w:rsidP="003A04FA">
      <w:pPr>
        <w:rPr>
          <w:rFonts w:ascii="TimesNewRoman" w:hAnsi="TimesNewRoman" w:cs="TimesNewRoman"/>
          <w:sz w:val="24"/>
          <w:szCs w:val="24"/>
        </w:rPr>
      </w:pPr>
    </w:p>
    <w:p w:rsidR="00346BAC" w:rsidRPr="007B0135" w:rsidRDefault="00346BAC" w:rsidP="003A04FA">
      <w:pPr>
        <w:rPr>
          <w:rFonts w:ascii="TimesNewRoman" w:hAnsi="TimesNewRoman" w:cs="TimesNewRoman"/>
          <w:b/>
          <w:sz w:val="24"/>
          <w:szCs w:val="24"/>
          <w:u w:val="single"/>
        </w:rPr>
      </w:pPr>
      <w:r w:rsidRPr="007B0135">
        <w:rPr>
          <w:rFonts w:ascii="TimesNewRoman" w:hAnsi="TimesNewRoman" w:cs="TimesNewRoman"/>
          <w:b/>
          <w:sz w:val="24"/>
          <w:szCs w:val="24"/>
          <w:u w:val="single"/>
        </w:rPr>
        <w:t>Plan de la partie :</w:t>
      </w:r>
    </w:p>
    <w:p w:rsidR="00346BAC" w:rsidRPr="007B0135" w:rsidRDefault="00346BAC" w:rsidP="00346BAC">
      <w:pPr>
        <w:numPr>
          <w:ilvl w:val="0"/>
          <w:numId w:val="7"/>
        </w:numPr>
        <w:spacing w:before="100" w:beforeAutospacing="1" w:after="100" w:afterAutospacing="1"/>
        <w:rPr>
          <w:b/>
          <w:sz w:val="24"/>
          <w:szCs w:val="24"/>
        </w:rPr>
      </w:pPr>
      <w:r w:rsidRPr="007B0135">
        <w:rPr>
          <w:b/>
          <w:sz w:val="24"/>
          <w:szCs w:val="24"/>
        </w:rPr>
        <w:t>Typologie des charges et des couts</w:t>
      </w:r>
    </w:p>
    <w:p w:rsidR="00346BAC" w:rsidRPr="007B0135" w:rsidRDefault="00346BAC" w:rsidP="00346BAC">
      <w:pPr>
        <w:numPr>
          <w:ilvl w:val="0"/>
          <w:numId w:val="7"/>
        </w:numPr>
        <w:spacing w:before="100" w:beforeAutospacing="1" w:after="100" w:afterAutospacing="1"/>
        <w:rPr>
          <w:b/>
          <w:sz w:val="24"/>
          <w:szCs w:val="24"/>
        </w:rPr>
      </w:pPr>
      <w:r w:rsidRPr="007B0135">
        <w:rPr>
          <w:b/>
          <w:sz w:val="24"/>
          <w:szCs w:val="24"/>
        </w:rPr>
        <w:t>Les couts partiels</w:t>
      </w:r>
    </w:p>
    <w:p w:rsidR="00346BAC" w:rsidRPr="007B0135" w:rsidRDefault="00346BAC" w:rsidP="00346BAC">
      <w:pPr>
        <w:numPr>
          <w:ilvl w:val="0"/>
          <w:numId w:val="7"/>
        </w:numPr>
        <w:spacing w:before="100" w:beforeAutospacing="1" w:after="100" w:afterAutospacing="1"/>
        <w:rPr>
          <w:b/>
          <w:sz w:val="24"/>
          <w:szCs w:val="24"/>
        </w:rPr>
      </w:pPr>
      <w:r w:rsidRPr="007B0135">
        <w:rPr>
          <w:b/>
          <w:sz w:val="24"/>
          <w:szCs w:val="24"/>
        </w:rPr>
        <w:t>Les couts complets : la méthode des centres d'analyse</w:t>
      </w:r>
    </w:p>
    <w:p w:rsidR="00346BAC" w:rsidRPr="00A83B39" w:rsidRDefault="00346BAC" w:rsidP="003A04FA">
      <w:pPr>
        <w:rPr>
          <w:rFonts w:ascii="TimesNewRoman" w:hAnsi="TimesNewRoman" w:cs="TimesNewRoman"/>
          <w:sz w:val="24"/>
          <w:szCs w:val="24"/>
        </w:rPr>
      </w:pPr>
    </w:p>
    <w:p w:rsidR="003A04FA" w:rsidRPr="00A83B39" w:rsidRDefault="003A04FA" w:rsidP="00A50483">
      <w:pPr>
        <w:ind w:left="360"/>
        <w:rPr>
          <w:sz w:val="28"/>
        </w:rPr>
      </w:pPr>
    </w:p>
    <w:p w:rsidR="00083D0F" w:rsidRPr="00A83B39" w:rsidRDefault="00083D0F" w:rsidP="00826E93">
      <w:pPr>
        <w:numPr>
          <w:ilvl w:val="0"/>
          <w:numId w:val="8"/>
        </w:numPr>
        <w:ind w:left="357" w:hanging="357"/>
        <w:outlineLvl w:val="1"/>
        <w:rPr>
          <w:sz w:val="28"/>
        </w:rPr>
      </w:pPr>
      <w:bookmarkStart w:id="1" w:name="_Toc351126722"/>
      <w:r w:rsidRPr="00A83B39">
        <w:rPr>
          <w:sz w:val="28"/>
        </w:rPr>
        <w:t>Typologie des charges et des couts</w:t>
      </w:r>
      <w:bookmarkEnd w:id="1"/>
    </w:p>
    <w:p w:rsidR="00083D0F" w:rsidRPr="00A83B39" w:rsidRDefault="00083D0F" w:rsidP="000028E7">
      <w:pPr>
        <w:autoSpaceDE w:val="0"/>
        <w:autoSpaceDN w:val="0"/>
        <w:adjustRightInd w:val="0"/>
        <w:jc w:val="left"/>
        <w:rPr>
          <w:rFonts w:ascii="TimesNewRoman" w:hAnsi="TimesNewRoman" w:cs="TimesNewRoman"/>
          <w:sz w:val="24"/>
          <w:szCs w:val="24"/>
        </w:rPr>
      </w:pPr>
    </w:p>
    <w:p w:rsidR="000028E7" w:rsidRPr="00A83B39" w:rsidRDefault="000028E7" w:rsidP="000028E7">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Attention à ne pas confondre prix, coût et charge :</w:t>
      </w:r>
    </w:p>
    <w:p w:rsidR="00083D0F" w:rsidRPr="00A83B39" w:rsidRDefault="00083D0F" w:rsidP="000028E7">
      <w:pPr>
        <w:autoSpaceDE w:val="0"/>
        <w:autoSpaceDN w:val="0"/>
        <w:adjustRightInd w:val="0"/>
        <w:jc w:val="left"/>
        <w:rPr>
          <w:rFonts w:ascii="TimesNewRoman" w:hAnsi="TimesNewRoman" w:cs="TimesNewRoman"/>
          <w:sz w:val="24"/>
          <w:szCs w:val="24"/>
        </w:rPr>
      </w:pPr>
    </w:p>
    <w:p w:rsidR="000028E7" w:rsidRPr="00A83B39" w:rsidRDefault="000028E7" w:rsidP="000028E7">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 un prix est le résultat d’une transaction avec une personne extérieure à l’entreprise (prix de vente</w:t>
      </w:r>
      <w:r w:rsidR="00083D0F" w:rsidRPr="00A83B39">
        <w:rPr>
          <w:rFonts w:ascii="TimesNewRoman" w:hAnsi="TimesNewRoman" w:cs="TimesNewRoman"/>
          <w:sz w:val="24"/>
          <w:szCs w:val="24"/>
        </w:rPr>
        <w:t xml:space="preserve"> ; prix = prime en assurance</w:t>
      </w:r>
      <w:r w:rsidRPr="00A83B39">
        <w:rPr>
          <w:rFonts w:ascii="TimesNewRoman" w:hAnsi="TimesNewRoman" w:cs="TimesNewRoman"/>
          <w:sz w:val="24"/>
          <w:szCs w:val="24"/>
        </w:rPr>
        <w:t>)</w:t>
      </w:r>
    </w:p>
    <w:p w:rsidR="000028E7" w:rsidRPr="00A83B39" w:rsidRDefault="000028E7" w:rsidP="000028E7">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 xml:space="preserve">- une charge est une consommation de ressources par l’entreprise (ex : achat </w:t>
      </w:r>
      <w:r w:rsidR="00083D0F" w:rsidRPr="00A83B39">
        <w:rPr>
          <w:rFonts w:ascii="TimesNewRoman" w:hAnsi="TimesNewRoman" w:cs="TimesNewRoman"/>
          <w:sz w:val="24"/>
          <w:szCs w:val="24"/>
        </w:rPr>
        <w:t xml:space="preserve">d'un logiciel pour améliorer le traitement des </w:t>
      </w:r>
      <w:r w:rsidR="001407C9" w:rsidRPr="00A83B39">
        <w:rPr>
          <w:rFonts w:ascii="TimesNewRoman" w:hAnsi="TimesNewRoman" w:cs="TimesNewRoman"/>
          <w:sz w:val="24"/>
          <w:szCs w:val="24"/>
        </w:rPr>
        <w:t>déclaration</w:t>
      </w:r>
      <w:r w:rsidR="00E763FE" w:rsidRPr="00A83B39">
        <w:rPr>
          <w:rFonts w:ascii="TimesNewRoman" w:hAnsi="TimesNewRoman" w:cs="TimesNewRoman"/>
          <w:sz w:val="24"/>
          <w:szCs w:val="24"/>
        </w:rPr>
        <w:t>s</w:t>
      </w:r>
      <w:r w:rsidR="001407C9" w:rsidRPr="00A83B39">
        <w:rPr>
          <w:rFonts w:ascii="TimesNewRoman" w:hAnsi="TimesNewRoman" w:cs="TimesNewRoman"/>
          <w:sz w:val="24"/>
          <w:szCs w:val="24"/>
        </w:rPr>
        <w:t xml:space="preserve"> de sinistres</w:t>
      </w:r>
      <w:r w:rsidR="003E6724" w:rsidRPr="00A83B39">
        <w:rPr>
          <w:rFonts w:ascii="TimesNewRoman" w:hAnsi="TimesNewRoman" w:cs="TimesNewRoman"/>
          <w:sz w:val="24"/>
          <w:szCs w:val="24"/>
        </w:rPr>
        <w:t>, paiement d'un sinistre</w:t>
      </w:r>
      <w:r w:rsidRPr="00A83B39">
        <w:rPr>
          <w:rFonts w:ascii="TimesNewRoman" w:hAnsi="TimesNewRoman" w:cs="TimesNewRoman"/>
          <w:sz w:val="24"/>
          <w:szCs w:val="24"/>
        </w:rPr>
        <w:t>)</w:t>
      </w:r>
    </w:p>
    <w:p w:rsidR="009E0D77" w:rsidRPr="00A83B39" w:rsidRDefault="000028E7" w:rsidP="000028E7">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 un coût est une accumulation de charges sur un produit ou un service.</w:t>
      </w:r>
    </w:p>
    <w:p w:rsidR="00A50483" w:rsidRPr="00A83B39" w:rsidRDefault="00A50483" w:rsidP="000028E7">
      <w:pPr>
        <w:autoSpaceDE w:val="0"/>
        <w:autoSpaceDN w:val="0"/>
        <w:adjustRightInd w:val="0"/>
        <w:jc w:val="left"/>
        <w:rPr>
          <w:rFonts w:ascii="TimesNewRoman" w:hAnsi="TimesNewRoman" w:cs="TimesNewRoman"/>
          <w:sz w:val="24"/>
          <w:szCs w:val="24"/>
        </w:rPr>
      </w:pPr>
    </w:p>
    <w:p w:rsidR="00083D0F" w:rsidRPr="00A83B39" w:rsidRDefault="00083D0F" w:rsidP="00826E93">
      <w:pPr>
        <w:numPr>
          <w:ilvl w:val="1"/>
          <w:numId w:val="9"/>
        </w:numPr>
        <w:ind w:left="788" w:hanging="431"/>
        <w:outlineLvl w:val="2"/>
        <w:rPr>
          <w:sz w:val="28"/>
        </w:rPr>
      </w:pPr>
      <w:bookmarkStart w:id="2" w:name="_Toc351126723"/>
      <w:r w:rsidRPr="00A83B39">
        <w:rPr>
          <w:sz w:val="28"/>
        </w:rPr>
        <w:t>Typologie des charges</w:t>
      </w:r>
      <w:bookmarkEnd w:id="2"/>
    </w:p>
    <w:p w:rsidR="00A50483" w:rsidRPr="00A83B39" w:rsidRDefault="00A50483" w:rsidP="00A50483">
      <w:pPr>
        <w:ind w:left="792"/>
        <w:rPr>
          <w:sz w:val="28"/>
        </w:rPr>
      </w:pPr>
    </w:p>
    <w:p w:rsidR="001407C9" w:rsidRPr="00A83B39" w:rsidRDefault="001407C9" w:rsidP="00826E93">
      <w:pPr>
        <w:numPr>
          <w:ilvl w:val="2"/>
          <w:numId w:val="9"/>
        </w:numPr>
        <w:ind w:left="1225" w:hanging="505"/>
        <w:outlineLvl w:val="3"/>
        <w:rPr>
          <w:sz w:val="28"/>
        </w:rPr>
      </w:pPr>
      <w:bookmarkStart w:id="3" w:name="_Toc351126724"/>
      <w:r w:rsidRPr="00A83B39">
        <w:rPr>
          <w:sz w:val="28"/>
        </w:rPr>
        <w:t>Directes / indirectes</w:t>
      </w:r>
      <w:bookmarkEnd w:id="3"/>
    </w:p>
    <w:p w:rsidR="001407C9" w:rsidRPr="00A83B39" w:rsidRDefault="001407C9" w:rsidP="00083D0F">
      <w:pPr>
        <w:autoSpaceDE w:val="0"/>
        <w:autoSpaceDN w:val="0"/>
        <w:adjustRightInd w:val="0"/>
        <w:jc w:val="left"/>
        <w:rPr>
          <w:rFonts w:ascii="TimesNewRoman" w:hAnsi="TimesNewRoman" w:cs="TimesNewRoman"/>
          <w:sz w:val="24"/>
          <w:szCs w:val="24"/>
        </w:rPr>
      </w:pPr>
    </w:p>
    <w:p w:rsidR="00083D0F" w:rsidRPr="00A83B39" w:rsidRDefault="00083D0F" w:rsidP="00083D0F">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Une charge directe est une charge qui peut être affectée sans ambiguïté au coût d’un produit (emplois de consultants pour tarifer un produit en particulier).</w:t>
      </w:r>
    </w:p>
    <w:p w:rsidR="00083D0F" w:rsidRPr="00A83B39" w:rsidRDefault="00083D0F" w:rsidP="00083D0F">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Une charge indirecte nécessite un calcul préalable pour être répartie entre plusieurs produits (loyer du siège de l'assureur).</w:t>
      </w:r>
    </w:p>
    <w:p w:rsidR="00083D0F" w:rsidRPr="00A83B39" w:rsidRDefault="00083D0F" w:rsidP="00083D0F">
      <w:pPr>
        <w:autoSpaceDE w:val="0"/>
        <w:autoSpaceDN w:val="0"/>
        <w:adjustRightInd w:val="0"/>
        <w:jc w:val="left"/>
        <w:rPr>
          <w:rFonts w:ascii="TimesNewRoman" w:hAnsi="TimesNewRoman" w:cs="TimesNewRoman"/>
          <w:sz w:val="24"/>
          <w:szCs w:val="24"/>
        </w:rPr>
      </w:pPr>
    </w:p>
    <w:p w:rsidR="001407C9" w:rsidRPr="00A83B39" w:rsidRDefault="00083D0F" w:rsidP="00083D0F">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 xml:space="preserve">Attention : </w:t>
      </w:r>
    </w:p>
    <w:p w:rsidR="009E0D77" w:rsidRPr="00A83B39" w:rsidRDefault="00083D0F" w:rsidP="00083D0F">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 xml:space="preserve">les charges ne sont pas directes ou indirectes dans l’absolu mais par rapport à un produit. Ainsi, </w:t>
      </w:r>
      <w:r w:rsidR="001407C9" w:rsidRPr="00A83B39">
        <w:rPr>
          <w:rFonts w:ascii="TimesNewRoman" w:hAnsi="TimesNewRoman" w:cs="TimesNewRoman"/>
          <w:sz w:val="24"/>
          <w:szCs w:val="24"/>
        </w:rPr>
        <w:t>l'achat d'un logiciel pour améliorer le traitement des déclaration</w:t>
      </w:r>
      <w:r w:rsidR="00E763FE" w:rsidRPr="00A83B39">
        <w:rPr>
          <w:rFonts w:ascii="TimesNewRoman" w:hAnsi="TimesNewRoman" w:cs="TimesNewRoman"/>
          <w:sz w:val="24"/>
          <w:szCs w:val="24"/>
        </w:rPr>
        <w:t>s</w:t>
      </w:r>
      <w:r w:rsidR="001407C9" w:rsidRPr="00A83B39">
        <w:rPr>
          <w:rFonts w:ascii="TimesNewRoman" w:hAnsi="TimesNewRoman" w:cs="TimesNewRoman"/>
          <w:sz w:val="24"/>
          <w:szCs w:val="24"/>
        </w:rPr>
        <w:t xml:space="preserve"> de sinistres </w:t>
      </w:r>
      <w:r w:rsidRPr="00A83B39">
        <w:rPr>
          <w:rFonts w:ascii="TimesNewRoman" w:hAnsi="TimesNewRoman" w:cs="TimesNewRoman"/>
          <w:sz w:val="24"/>
          <w:szCs w:val="24"/>
        </w:rPr>
        <w:t xml:space="preserve">est une charge indirecte par rapport au coût d’un </w:t>
      </w:r>
      <w:r w:rsidR="001407C9" w:rsidRPr="00A83B39">
        <w:rPr>
          <w:rFonts w:ascii="TimesNewRoman" w:hAnsi="TimesNewRoman" w:cs="TimesNewRoman"/>
          <w:sz w:val="24"/>
          <w:szCs w:val="24"/>
        </w:rPr>
        <w:t>produit d'assurance non-vie</w:t>
      </w:r>
      <w:r w:rsidRPr="00A83B39">
        <w:rPr>
          <w:rFonts w:ascii="TimesNewRoman" w:hAnsi="TimesNewRoman" w:cs="TimesNewRoman"/>
          <w:sz w:val="24"/>
          <w:szCs w:val="24"/>
        </w:rPr>
        <w:t xml:space="preserve"> mais elle devient une charge directe pour calculer le résultat de l’activité </w:t>
      </w:r>
      <w:r w:rsidR="001407C9" w:rsidRPr="00A83B39">
        <w:rPr>
          <w:rFonts w:ascii="TimesNewRoman" w:hAnsi="TimesNewRoman" w:cs="TimesNewRoman"/>
          <w:sz w:val="24"/>
          <w:szCs w:val="24"/>
        </w:rPr>
        <w:t>non-vie</w:t>
      </w:r>
      <w:r w:rsidRPr="00A83B39">
        <w:rPr>
          <w:rFonts w:ascii="TimesNewRoman" w:hAnsi="TimesNewRoman" w:cs="TimesNewRoman"/>
          <w:sz w:val="24"/>
          <w:szCs w:val="24"/>
        </w:rPr>
        <w:t>.</w:t>
      </w:r>
    </w:p>
    <w:p w:rsidR="00A50483" w:rsidRPr="00A83B39" w:rsidRDefault="00A50483" w:rsidP="00083D0F">
      <w:pPr>
        <w:autoSpaceDE w:val="0"/>
        <w:autoSpaceDN w:val="0"/>
        <w:adjustRightInd w:val="0"/>
        <w:jc w:val="left"/>
        <w:rPr>
          <w:rFonts w:ascii="TimesNewRoman" w:hAnsi="TimesNewRoman" w:cs="TimesNewRoman"/>
          <w:sz w:val="24"/>
          <w:szCs w:val="24"/>
        </w:rPr>
      </w:pPr>
    </w:p>
    <w:p w:rsidR="00597C87" w:rsidRPr="00A83B39" w:rsidRDefault="001407C9" w:rsidP="00826E93">
      <w:pPr>
        <w:numPr>
          <w:ilvl w:val="2"/>
          <w:numId w:val="9"/>
        </w:numPr>
        <w:ind w:left="1225" w:hanging="505"/>
        <w:outlineLvl w:val="3"/>
        <w:rPr>
          <w:sz w:val="28"/>
        </w:rPr>
      </w:pPr>
      <w:bookmarkStart w:id="4" w:name="_Toc351126725"/>
      <w:r w:rsidRPr="00A83B39">
        <w:rPr>
          <w:sz w:val="28"/>
        </w:rPr>
        <w:t>Fixes / variables</w:t>
      </w:r>
      <w:bookmarkEnd w:id="4"/>
    </w:p>
    <w:p w:rsidR="00A50483" w:rsidRPr="00A83B39" w:rsidRDefault="00A50483" w:rsidP="00A50483">
      <w:pPr>
        <w:ind w:left="1224"/>
        <w:rPr>
          <w:sz w:val="28"/>
        </w:rPr>
      </w:pPr>
    </w:p>
    <w:p w:rsidR="001407C9" w:rsidRPr="00A83B39" w:rsidRDefault="001407C9" w:rsidP="001407C9">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Les charges fixes restent constantes quel que soit le volume d’activité de l’entreprise (entretien</w:t>
      </w:r>
      <w:r w:rsidR="00E763FE" w:rsidRPr="00A83B39">
        <w:rPr>
          <w:rFonts w:ascii="TimesNewRoman" w:hAnsi="TimesNewRoman" w:cs="TimesNewRoman"/>
          <w:sz w:val="24"/>
          <w:szCs w:val="24"/>
        </w:rPr>
        <w:t xml:space="preserve"> d</w:t>
      </w:r>
      <w:r w:rsidRPr="00A83B39">
        <w:rPr>
          <w:rFonts w:ascii="TimesNewRoman" w:hAnsi="TimesNewRoman" w:cs="TimesNewRoman"/>
          <w:sz w:val="24"/>
          <w:szCs w:val="24"/>
        </w:rPr>
        <w:t>u parc informatique).</w:t>
      </w:r>
    </w:p>
    <w:p w:rsidR="001407C9" w:rsidRPr="00A83B39" w:rsidRDefault="001407C9" w:rsidP="001407C9">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Les charges variables sont fonction de l’activité de l’entreprise (rémunération des commerciaux indexée sur les ventes, ….).</w:t>
      </w:r>
    </w:p>
    <w:p w:rsidR="001407C9" w:rsidRPr="00A83B39" w:rsidRDefault="001407C9" w:rsidP="001407C9">
      <w:pPr>
        <w:autoSpaceDE w:val="0"/>
        <w:autoSpaceDN w:val="0"/>
        <w:adjustRightInd w:val="0"/>
        <w:jc w:val="left"/>
        <w:rPr>
          <w:rFonts w:ascii="TimesNewRoman" w:hAnsi="TimesNewRoman" w:cs="TimesNewRoman"/>
          <w:sz w:val="24"/>
          <w:szCs w:val="24"/>
        </w:rPr>
      </w:pPr>
    </w:p>
    <w:p w:rsidR="00604E90" w:rsidRDefault="00604E90" w:rsidP="00E763FE">
      <w:pPr>
        <w:autoSpaceDE w:val="0"/>
        <w:autoSpaceDN w:val="0"/>
        <w:adjustRightInd w:val="0"/>
        <w:jc w:val="left"/>
        <w:rPr>
          <w:rFonts w:ascii="TimesNewRoman" w:hAnsi="TimesNewRoman" w:cs="TimesNewRoman"/>
          <w:sz w:val="24"/>
          <w:szCs w:val="24"/>
        </w:rPr>
      </w:pPr>
    </w:p>
    <w:p w:rsidR="00604E90" w:rsidRDefault="00604E90" w:rsidP="00E763FE">
      <w:pPr>
        <w:autoSpaceDE w:val="0"/>
        <w:autoSpaceDN w:val="0"/>
        <w:adjustRightInd w:val="0"/>
        <w:jc w:val="left"/>
        <w:rPr>
          <w:rFonts w:ascii="TimesNewRoman" w:hAnsi="TimesNewRoman" w:cs="TimesNewRoman"/>
          <w:sz w:val="24"/>
          <w:szCs w:val="24"/>
        </w:rPr>
      </w:pPr>
    </w:p>
    <w:p w:rsidR="00E763FE" w:rsidRPr="00A83B39" w:rsidRDefault="00E763FE" w:rsidP="00E763FE">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 xml:space="preserve">Attention : </w:t>
      </w:r>
    </w:p>
    <w:p w:rsidR="001407C9" w:rsidRPr="00A83B39" w:rsidRDefault="001407C9" w:rsidP="001407C9">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 xml:space="preserve">Dans la réalité, la distinction n’est pas toujours aisée. Ainsi, les charges de salaires sont en  grande partie fixes mais peuvent être « </w:t>
      </w:r>
      <w:proofErr w:type="spellStart"/>
      <w:r w:rsidRPr="00A83B39">
        <w:rPr>
          <w:rFonts w:ascii="TimesNewRoman" w:hAnsi="TimesNewRoman" w:cs="TimesNewRoman"/>
          <w:sz w:val="24"/>
          <w:szCs w:val="24"/>
        </w:rPr>
        <w:t>variabilisées</w:t>
      </w:r>
      <w:proofErr w:type="spellEnd"/>
      <w:r w:rsidRPr="00A83B39">
        <w:rPr>
          <w:rFonts w:ascii="TimesNewRoman" w:hAnsi="TimesNewRoman" w:cs="TimesNewRoman"/>
          <w:sz w:val="24"/>
          <w:szCs w:val="24"/>
        </w:rPr>
        <w:t xml:space="preserve"> » grâce au recours aux heures supplémentaires</w:t>
      </w:r>
      <w:r w:rsidR="00E763FE" w:rsidRPr="00A83B39">
        <w:rPr>
          <w:rFonts w:ascii="TimesNewRoman" w:hAnsi="TimesNewRoman" w:cs="TimesNewRoman"/>
          <w:sz w:val="24"/>
          <w:szCs w:val="24"/>
        </w:rPr>
        <w:t xml:space="preserve"> par exemple</w:t>
      </w:r>
      <w:r w:rsidRPr="00A83B39">
        <w:rPr>
          <w:rFonts w:ascii="TimesNewRoman" w:hAnsi="TimesNewRoman" w:cs="TimesNewRoman"/>
          <w:sz w:val="24"/>
          <w:szCs w:val="24"/>
        </w:rPr>
        <w:t>.</w:t>
      </w:r>
    </w:p>
    <w:p w:rsidR="001407C9" w:rsidRPr="00A83B39" w:rsidRDefault="001407C9" w:rsidP="001407C9">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lastRenderedPageBreak/>
        <w:t>De plus, les charges fixes ne sont fixes que pour une variation limitée du volume d’activité. En fait, elles varient par paliers.</w:t>
      </w:r>
    </w:p>
    <w:p w:rsidR="00563052" w:rsidRPr="00A83B39" w:rsidRDefault="00563052" w:rsidP="001407C9">
      <w:pPr>
        <w:autoSpaceDE w:val="0"/>
        <w:autoSpaceDN w:val="0"/>
        <w:adjustRightInd w:val="0"/>
        <w:jc w:val="left"/>
        <w:rPr>
          <w:rFonts w:ascii="TimesNewRoman" w:hAnsi="TimesNewRoman" w:cs="TimesNewRoman"/>
          <w:sz w:val="24"/>
          <w:szCs w:val="24"/>
        </w:rPr>
      </w:pPr>
    </w:p>
    <w:p w:rsidR="00E763FE" w:rsidRPr="00A83B39" w:rsidRDefault="00E763FE" w:rsidP="00684611">
      <w:pPr>
        <w:autoSpaceDE w:val="0"/>
        <w:autoSpaceDN w:val="0"/>
        <w:adjustRightInd w:val="0"/>
        <w:jc w:val="center"/>
        <w:rPr>
          <w:rFonts w:ascii="TimesNewRoman" w:hAnsi="TimesNewRoman" w:cs="TimesNew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684611" w:rsidRPr="00A83B39" w:rsidTr="00684611">
        <w:trPr>
          <w:jc w:val="center"/>
        </w:trPr>
        <w:tc>
          <w:tcPr>
            <w:tcW w:w="3070" w:type="dxa"/>
            <w:vAlign w:val="center"/>
          </w:tcPr>
          <w:p w:rsidR="00684611" w:rsidRPr="00A83B39" w:rsidRDefault="00684611" w:rsidP="00684611">
            <w:pPr>
              <w:spacing w:before="100" w:beforeAutospacing="1" w:after="100" w:afterAutospacing="1"/>
              <w:jc w:val="center"/>
              <w:rPr>
                <w:sz w:val="24"/>
                <w:szCs w:val="24"/>
              </w:rPr>
            </w:pPr>
            <w:r w:rsidRPr="00A83B39">
              <w:rPr>
                <w:sz w:val="24"/>
                <w:szCs w:val="24"/>
              </w:rPr>
              <w:t>Charges</w:t>
            </w:r>
          </w:p>
        </w:tc>
        <w:tc>
          <w:tcPr>
            <w:tcW w:w="3071" w:type="dxa"/>
            <w:vAlign w:val="center"/>
          </w:tcPr>
          <w:p w:rsidR="00684611" w:rsidRPr="00A83B39" w:rsidRDefault="00684611" w:rsidP="00684611">
            <w:pPr>
              <w:spacing w:before="100" w:beforeAutospacing="1" w:after="100" w:afterAutospacing="1"/>
              <w:jc w:val="center"/>
              <w:rPr>
                <w:sz w:val="24"/>
                <w:szCs w:val="24"/>
              </w:rPr>
            </w:pPr>
            <w:r w:rsidRPr="00A83B39">
              <w:rPr>
                <w:sz w:val="24"/>
                <w:szCs w:val="24"/>
              </w:rPr>
              <w:t>Fixes</w:t>
            </w:r>
          </w:p>
        </w:tc>
        <w:tc>
          <w:tcPr>
            <w:tcW w:w="3071" w:type="dxa"/>
            <w:vAlign w:val="center"/>
          </w:tcPr>
          <w:p w:rsidR="00684611" w:rsidRPr="00A83B39" w:rsidRDefault="00684611" w:rsidP="00684611">
            <w:pPr>
              <w:spacing w:before="100" w:beforeAutospacing="1" w:after="100" w:afterAutospacing="1"/>
              <w:jc w:val="center"/>
              <w:rPr>
                <w:sz w:val="24"/>
                <w:szCs w:val="24"/>
              </w:rPr>
            </w:pPr>
            <w:r w:rsidRPr="00A83B39">
              <w:rPr>
                <w:sz w:val="24"/>
                <w:szCs w:val="24"/>
              </w:rPr>
              <w:t>Variables</w:t>
            </w:r>
          </w:p>
        </w:tc>
      </w:tr>
      <w:tr w:rsidR="00684611" w:rsidRPr="00A83B39" w:rsidTr="00684611">
        <w:trPr>
          <w:jc w:val="center"/>
        </w:trPr>
        <w:tc>
          <w:tcPr>
            <w:tcW w:w="3070" w:type="dxa"/>
            <w:vAlign w:val="center"/>
          </w:tcPr>
          <w:p w:rsidR="00684611" w:rsidRPr="00A83B39" w:rsidRDefault="00684611" w:rsidP="00684611">
            <w:pPr>
              <w:spacing w:before="100" w:beforeAutospacing="1" w:after="100" w:afterAutospacing="1"/>
              <w:jc w:val="center"/>
              <w:rPr>
                <w:sz w:val="24"/>
                <w:szCs w:val="24"/>
              </w:rPr>
            </w:pPr>
            <w:r w:rsidRPr="00A83B39">
              <w:rPr>
                <w:sz w:val="24"/>
                <w:szCs w:val="24"/>
              </w:rPr>
              <w:t>Directes</w:t>
            </w:r>
          </w:p>
        </w:tc>
        <w:tc>
          <w:tcPr>
            <w:tcW w:w="3071" w:type="dxa"/>
            <w:vAlign w:val="center"/>
          </w:tcPr>
          <w:p w:rsidR="00684611" w:rsidRPr="00A83B39" w:rsidRDefault="00684611" w:rsidP="00684611">
            <w:pPr>
              <w:spacing w:before="100" w:beforeAutospacing="1" w:after="100" w:afterAutospacing="1"/>
              <w:jc w:val="left"/>
              <w:rPr>
                <w:sz w:val="24"/>
                <w:szCs w:val="24"/>
              </w:rPr>
            </w:pPr>
            <w:r w:rsidRPr="00A83B39">
              <w:rPr>
                <w:sz w:val="24"/>
                <w:szCs w:val="24"/>
              </w:rPr>
              <w:t>Emplois de consultants pour tarifer un produit en particulier.</w:t>
            </w:r>
          </w:p>
        </w:tc>
        <w:tc>
          <w:tcPr>
            <w:tcW w:w="3071" w:type="dxa"/>
            <w:vAlign w:val="center"/>
          </w:tcPr>
          <w:p w:rsidR="00684611" w:rsidRPr="00A83B39" w:rsidRDefault="00684611" w:rsidP="00684611">
            <w:pPr>
              <w:spacing w:before="100" w:beforeAutospacing="1" w:after="100" w:afterAutospacing="1"/>
              <w:jc w:val="left"/>
              <w:rPr>
                <w:sz w:val="24"/>
                <w:szCs w:val="24"/>
              </w:rPr>
            </w:pPr>
            <w:r w:rsidRPr="00A83B39">
              <w:rPr>
                <w:sz w:val="24"/>
                <w:szCs w:val="24"/>
              </w:rPr>
              <w:t>Factures téléphoniques liées au traitement des déclarations de sinistres</w:t>
            </w:r>
          </w:p>
        </w:tc>
      </w:tr>
      <w:tr w:rsidR="00684611" w:rsidRPr="00A83B39" w:rsidTr="00684611">
        <w:trPr>
          <w:jc w:val="center"/>
        </w:trPr>
        <w:tc>
          <w:tcPr>
            <w:tcW w:w="3070" w:type="dxa"/>
            <w:vAlign w:val="center"/>
          </w:tcPr>
          <w:p w:rsidR="00684611" w:rsidRPr="00A83B39" w:rsidRDefault="00684611" w:rsidP="00684611">
            <w:pPr>
              <w:spacing w:before="100" w:beforeAutospacing="1" w:after="100" w:afterAutospacing="1"/>
              <w:jc w:val="center"/>
              <w:rPr>
                <w:sz w:val="24"/>
                <w:szCs w:val="24"/>
              </w:rPr>
            </w:pPr>
            <w:r w:rsidRPr="00A83B39">
              <w:rPr>
                <w:sz w:val="24"/>
                <w:szCs w:val="24"/>
              </w:rPr>
              <w:t>Indirectes</w:t>
            </w:r>
          </w:p>
        </w:tc>
        <w:tc>
          <w:tcPr>
            <w:tcW w:w="3071" w:type="dxa"/>
            <w:vAlign w:val="center"/>
          </w:tcPr>
          <w:p w:rsidR="00684611" w:rsidRPr="00A83B39" w:rsidRDefault="00684611" w:rsidP="00684611">
            <w:pPr>
              <w:spacing w:before="100" w:beforeAutospacing="1" w:after="100" w:afterAutospacing="1"/>
              <w:jc w:val="left"/>
              <w:rPr>
                <w:sz w:val="24"/>
                <w:szCs w:val="24"/>
              </w:rPr>
            </w:pPr>
            <w:r w:rsidRPr="00A83B39">
              <w:rPr>
                <w:sz w:val="24"/>
                <w:szCs w:val="24"/>
              </w:rPr>
              <w:t>Loyer du siège</w:t>
            </w:r>
          </w:p>
        </w:tc>
        <w:tc>
          <w:tcPr>
            <w:tcW w:w="3071" w:type="dxa"/>
            <w:vAlign w:val="center"/>
          </w:tcPr>
          <w:p w:rsidR="00684611" w:rsidRPr="00A83B39" w:rsidRDefault="00684611" w:rsidP="00684611">
            <w:pPr>
              <w:spacing w:before="100" w:beforeAutospacing="1" w:after="100" w:afterAutospacing="1"/>
              <w:jc w:val="left"/>
              <w:rPr>
                <w:sz w:val="24"/>
                <w:szCs w:val="24"/>
              </w:rPr>
            </w:pPr>
            <w:r w:rsidRPr="00A83B39">
              <w:rPr>
                <w:sz w:val="24"/>
                <w:szCs w:val="24"/>
              </w:rPr>
              <w:t>Part de la rémunération des commerciaux indexée sur les ventes</w:t>
            </w:r>
          </w:p>
        </w:tc>
      </w:tr>
    </w:tbl>
    <w:p w:rsidR="00563052" w:rsidRPr="00A83B39" w:rsidRDefault="00563052" w:rsidP="00563052">
      <w:pPr>
        <w:ind w:left="792"/>
        <w:rPr>
          <w:sz w:val="28"/>
        </w:rPr>
      </w:pPr>
    </w:p>
    <w:p w:rsidR="00184092" w:rsidRPr="00A83B39" w:rsidRDefault="00184092" w:rsidP="00826E93">
      <w:pPr>
        <w:numPr>
          <w:ilvl w:val="1"/>
          <w:numId w:val="9"/>
        </w:numPr>
        <w:ind w:left="788" w:hanging="431"/>
        <w:outlineLvl w:val="2"/>
        <w:rPr>
          <w:sz w:val="28"/>
        </w:rPr>
      </w:pPr>
      <w:bookmarkStart w:id="5" w:name="_Toc351126726"/>
      <w:r w:rsidRPr="00A83B39">
        <w:rPr>
          <w:sz w:val="28"/>
        </w:rPr>
        <w:t>Typologie des coûts</w:t>
      </w:r>
      <w:bookmarkEnd w:id="5"/>
    </w:p>
    <w:p w:rsidR="00A50483" w:rsidRPr="00A83B39" w:rsidRDefault="00A50483" w:rsidP="00A50483">
      <w:pPr>
        <w:ind w:left="792"/>
        <w:rPr>
          <w:sz w:val="28"/>
        </w:rPr>
      </w:pPr>
    </w:p>
    <w:p w:rsidR="00184092" w:rsidRPr="00A83B39" w:rsidRDefault="00184092" w:rsidP="00871107">
      <w:pPr>
        <w:autoSpaceDE w:val="0"/>
        <w:autoSpaceDN w:val="0"/>
        <w:adjustRightInd w:val="0"/>
        <w:rPr>
          <w:sz w:val="24"/>
          <w:szCs w:val="24"/>
        </w:rPr>
      </w:pPr>
      <w:r w:rsidRPr="00A83B39">
        <w:rPr>
          <w:sz w:val="24"/>
          <w:szCs w:val="24"/>
        </w:rPr>
        <w:t>On peut classer les coûts selon plusieurs typologies :</w:t>
      </w:r>
    </w:p>
    <w:p w:rsidR="00184092" w:rsidRPr="00A83B39" w:rsidRDefault="00184092" w:rsidP="00871107">
      <w:pPr>
        <w:autoSpaceDE w:val="0"/>
        <w:autoSpaceDN w:val="0"/>
        <w:adjustRightInd w:val="0"/>
        <w:rPr>
          <w:sz w:val="24"/>
          <w:szCs w:val="24"/>
        </w:rPr>
      </w:pPr>
      <w:r w:rsidRPr="00A83B39">
        <w:rPr>
          <w:sz w:val="24"/>
          <w:szCs w:val="24"/>
        </w:rPr>
        <w:t>-  selon le stade d’élaboration du produit (coût d’achat / de production / de revient)</w:t>
      </w:r>
    </w:p>
    <w:p w:rsidR="00184092" w:rsidRPr="00A83B39" w:rsidRDefault="00184092" w:rsidP="00871107">
      <w:pPr>
        <w:autoSpaceDE w:val="0"/>
        <w:autoSpaceDN w:val="0"/>
        <w:adjustRightInd w:val="0"/>
        <w:rPr>
          <w:sz w:val="24"/>
          <w:szCs w:val="24"/>
        </w:rPr>
      </w:pPr>
      <w:r w:rsidRPr="00A83B39">
        <w:rPr>
          <w:sz w:val="24"/>
          <w:szCs w:val="24"/>
        </w:rPr>
        <w:t>-  selon le moment de calcul du coût (coût constaté / préétabli)</w:t>
      </w:r>
    </w:p>
    <w:p w:rsidR="00597C87" w:rsidRDefault="00184092" w:rsidP="00871107">
      <w:pPr>
        <w:autoSpaceDE w:val="0"/>
        <w:autoSpaceDN w:val="0"/>
        <w:adjustRightInd w:val="0"/>
        <w:rPr>
          <w:sz w:val="24"/>
          <w:szCs w:val="24"/>
        </w:rPr>
      </w:pPr>
      <w:r w:rsidRPr="00A83B39">
        <w:rPr>
          <w:sz w:val="24"/>
          <w:szCs w:val="24"/>
        </w:rPr>
        <w:t>-  selon la nature des charges prises en compte dans le coût (coût complet / partiel)</w:t>
      </w:r>
    </w:p>
    <w:p w:rsidR="00604E90" w:rsidRPr="00A83B39" w:rsidRDefault="00604E90" w:rsidP="00871107">
      <w:pPr>
        <w:autoSpaceDE w:val="0"/>
        <w:autoSpaceDN w:val="0"/>
        <w:adjustRightInd w:val="0"/>
        <w:rPr>
          <w:sz w:val="24"/>
          <w:szCs w:val="24"/>
        </w:rPr>
      </w:pPr>
    </w:p>
    <w:p w:rsidR="00184092" w:rsidRPr="00A83B39" w:rsidRDefault="00184092" w:rsidP="00184092">
      <w:pPr>
        <w:autoSpaceDE w:val="0"/>
        <w:autoSpaceDN w:val="0"/>
        <w:adjustRightInd w:val="0"/>
        <w:jc w:val="left"/>
        <w:rPr>
          <w:rFonts w:ascii="TimesNewRoman" w:hAnsi="TimesNewRoman" w:cs="TimesNewRoman"/>
          <w:sz w:val="24"/>
          <w:szCs w:val="24"/>
        </w:rPr>
      </w:pPr>
    </w:p>
    <w:p w:rsidR="00184092" w:rsidRPr="00A83B39" w:rsidRDefault="00184092" w:rsidP="00826E93">
      <w:pPr>
        <w:numPr>
          <w:ilvl w:val="2"/>
          <w:numId w:val="9"/>
        </w:numPr>
        <w:ind w:left="1225" w:hanging="505"/>
        <w:outlineLvl w:val="3"/>
        <w:rPr>
          <w:sz w:val="28"/>
        </w:rPr>
      </w:pPr>
      <w:bookmarkStart w:id="6" w:name="_Toc351126727"/>
      <w:r w:rsidRPr="00A83B39">
        <w:rPr>
          <w:sz w:val="28"/>
        </w:rPr>
        <w:t>Coût d'achat/de production/de revient :</w:t>
      </w:r>
      <w:bookmarkEnd w:id="6"/>
    </w:p>
    <w:p w:rsidR="00184092" w:rsidRPr="00A83B39" w:rsidRDefault="00184092" w:rsidP="00184092">
      <w:pPr>
        <w:autoSpaceDE w:val="0"/>
        <w:autoSpaceDN w:val="0"/>
        <w:adjustRightInd w:val="0"/>
        <w:jc w:val="left"/>
        <w:rPr>
          <w:rFonts w:ascii="TimesNewRoman" w:hAnsi="TimesNewRoman" w:cs="TimesNewRoman"/>
          <w:sz w:val="24"/>
          <w:szCs w:val="24"/>
        </w:rPr>
      </w:pPr>
    </w:p>
    <w:p w:rsidR="00184092" w:rsidRPr="00A83B39" w:rsidRDefault="00184092" w:rsidP="00871107">
      <w:pPr>
        <w:autoSpaceDE w:val="0"/>
        <w:autoSpaceDN w:val="0"/>
        <w:adjustRightInd w:val="0"/>
        <w:rPr>
          <w:sz w:val="24"/>
          <w:szCs w:val="24"/>
        </w:rPr>
      </w:pPr>
      <w:r w:rsidRPr="00A83B39">
        <w:rPr>
          <w:sz w:val="24"/>
          <w:szCs w:val="24"/>
        </w:rPr>
        <w:t xml:space="preserve">Ces coûts sont reliés les uns aux autres de la façon suivante (on parle de « hiérarchie » des </w:t>
      </w:r>
      <w:r w:rsidR="00ED08F7" w:rsidRPr="00A83B39">
        <w:rPr>
          <w:sz w:val="24"/>
          <w:szCs w:val="24"/>
        </w:rPr>
        <w:t>coûts)</w:t>
      </w:r>
      <w:r w:rsidRPr="00A83B39">
        <w:rPr>
          <w:sz w:val="24"/>
          <w:szCs w:val="24"/>
        </w:rPr>
        <w:t xml:space="preserve"> :</w:t>
      </w:r>
    </w:p>
    <w:p w:rsidR="00184092" w:rsidRPr="00A83B39" w:rsidRDefault="00184092" w:rsidP="00871107">
      <w:pPr>
        <w:autoSpaceDE w:val="0"/>
        <w:autoSpaceDN w:val="0"/>
        <w:adjustRightInd w:val="0"/>
        <w:rPr>
          <w:sz w:val="24"/>
          <w:szCs w:val="24"/>
        </w:rPr>
      </w:pPr>
      <w:r w:rsidRPr="00A83B39">
        <w:rPr>
          <w:sz w:val="24"/>
          <w:szCs w:val="24"/>
        </w:rPr>
        <w:t>- Coût d’achat = prix d’</w:t>
      </w:r>
      <w:r w:rsidR="00CA05C5" w:rsidRPr="00A83B39">
        <w:rPr>
          <w:sz w:val="24"/>
          <w:szCs w:val="24"/>
        </w:rPr>
        <w:t>achat + frais accessoires</w:t>
      </w:r>
    </w:p>
    <w:p w:rsidR="00184092" w:rsidRPr="00A83B39" w:rsidRDefault="00184092" w:rsidP="00871107">
      <w:pPr>
        <w:autoSpaceDE w:val="0"/>
        <w:autoSpaceDN w:val="0"/>
        <w:adjustRightInd w:val="0"/>
        <w:rPr>
          <w:sz w:val="24"/>
          <w:szCs w:val="24"/>
        </w:rPr>
      </w:pPr>
      <w:r w:rsidRPr="00A83B39">
        <w:rPr>
          <w:sz w:val="24"/>
          <w:szCs w:val="24"/>
        </w:rPr>
        <w:t>- Coût de production = coût d’achat + coût de fabrication (main d’œuvre, machines, …)</w:t>
      </w:r>
    </w:p>
    <w:p w:rsidR="00684611" w:rsidRPr="00A83B39" w:rsidRDefault="00184092" w:rsidP="00871107">
      <w:pPr>
        <w:autoSpaceDE w:val="0"/>
        <w:autoSpaceDN w:val="0"/>
        <w:adjustRightInd w:val="0"/>
        <w:rPr>
          <w:sz w:val="24"/>
          <w:szCs w:val="24"/>
        </w:rPr>
      </w:pPr>
      <w:r w:rsidRPr="00A83B39">
        <w:rPr>
          <w:sz w:val="24"/>
          <w:szCs w:val="24"/>
        </w:rPr>
        <w:t>- Coût de revient = coût de production + coût hors production (distribution, publicité, services</w:t>
      </w:r>
      <w:r w:rsidR="00ED08F7" w:rsidRPr="00A83B39">
        <w:rPr>
          <w:sz w:val="24"/>
          <w:szCs w:val="24"/>
        </w:rPr>
        <w:t xml:space="preserve"> </w:t>
      </w:r>
      <w:r w:rsidRPr="00A83B39">
        <w:rPr>
          <w:sz w:val="24"/>
          <w:szCs w:val="24"/>
        </w:rPr>
        <w:t>administratifs, …)</w:t>
      </w:r>
      <w:r w:rsidR="003E6724" w:rsidRPr="00A83B39">
        <w:rPr>
          <w:sz w:val="24"/>
          <w:szCs w:val="24"/>
        </w:rPr>
        <w:t xml:space="preserve"> + </w:t>
      </w:r>
      <w:r w:rsidR="003E6724" w:rsidRPr="00A83B39">
        <w:rPr>
          <w:b/>
          <w:sz w:val="24"/>
          <w:szCs w:val="24"/>
        </w:rPr>
        <w:t>paiement des sinistres</w:t>
      </w:r>
      <w:r w:rsidR="00563052" w:rsidRPr="00A83B39">
        <w:rPr>
          <w:b/>
          <w:sz w:val="24"/>
          <w:szCs w:val="24"/>
        </w:rPr>
        <w:t xml:space="preserve"> + provisionnement</w:t>
      </w:r>
    </w:p>
    <w:p w:rsidR="00CA05C5" w:rsidRPr="00A83B39" w:rsidRDefault="00CA05C5" w:rsidP="00871107">
      <w:pPr>
        <w:spacing w:before="100" w:beforeAutospacing="1" w:after="100" w:afterAutospacing="1"/>
        <w:rPr>
          <w:sz w:val="24"/>
          <w:szCs w:val="24"/>
        </w:rPr>
      </w:pPr>
      <w:r w:rsidRPr="00A83B39">
        <w:rPr>
          <w:sz w:val="24"/>
          <w:szCs w:val="24"/>
        </w:rPr>
        <w:t>Le coût d'achat n'intervient pas de façon évidente en assurance. Mais cette notion peut intervenir dans le cadre d'une activité en intermédiation.</w:t>
      </w:r>
    </w:p>
    <w:p w:rsidR="00CA05C5" w:rsidRPr="00A83B39" w:rsidRDefault="00CA05C5" w:rsidP="00871107">
      <w:pPr>
        <w:spacing w:before="100" w:beforeAutospacing="1" w:after="100" w:afterAutospacing="1"/>
        <w:rPr>
          <w:sz w:val="24"/>
          <w:szCs w:val="24"/>
        </w:rPr>
      </w:pPr>
      <w:r w:rsidRPr="00A83B39">
        <w:rPr>
          <w:sz w:val="24"/>
          <w:szCs w:val="24"/>
        </w:rPr>
        <w:t>Exemples :</w:t>
      </w:r>
    </w:p>
    <w:p w:rsidR="00CA05C5" w:rsidRPr="00A83B39" w:rsidRDefault="00CA05C5" w:rsidP="00871107">
      <w:pPr>
        <w:spacing w:before="100" w:beforeAutospacing="1" w:after="100" w:afterAutospacing="1"/>
        <w:rPr>
          <w:sz w:val="24"/>
          <w:szCs w:val="24"/>
        </w:rPr>
      </w:pPr>
      <w:r w:rsidRPr="00A83B39">
        <w:rPr>
          <w:sz w:val="24"/>
          <w:szCs w:val="24"/>
        </w:rPr>
        <w:t xml:space="preserve">Produit d'assurance conçu au sein de l'organisme : Coût d'achat = 0 € </w:t>
      </w:r>
    </w:p>
    <w:p w:rsidR="00CA05C5" w:rsidRPr="00A83B39" w:rsidRDefault="00CA05C5" w:rsidP="00871107">
      <w:pPr>
        <w:spacing w:before="100" w:beforeAutospacing="1" w:after="100" w:afterAutospacing="1"/>
        <w:rPr>
          <w:sz w:val="24"/>
          <w:szCs w:val="24"/>
        </w:rPr>
      </w:pPr>
      <w:r w:rsidRPr="00A83B39">
        <w:rPr>
          <w:sz w:val="24"/>
          <w:szCs w:val="24"/>
        </w:rPr>
        <w:t xml:space="preserve">Produit en intermédiation : Cout de </w:t>
      </w:r>
      <w:r w:rsidR="000F513C" w:rsidRPr="00A83B39">
        <w:rPr>
          <w:sz w:val="24"/>
          <w:szCs w:val="24"/>
        </w:rPr>
        <w:t>fabrication</w:t>
      </w:r>
      <w:r w:rsidRPr="00A83B39">
        <w:rPr>
          <w:sz w:val="24"/>
          <w:szCs w:val="24"/>
        </w:rPr>
        <w:t xml:space="preserve"> = 0€</w:t>
      </w:r>
    </w:p>
    <w:p w:rsidR="00684611" w:rsidRDefault="00CA05C5" w:rsidP="00871107">
      <w:pPr>
        <w:autoSpaceDE w:val="0"/>
        <w:autoSpaceDN w:val="0"/>
        <w:adjustRightInd w:val="0"/>
        <w:rPr>
          <w:b/>
          <w:sz w:val="24"/>
          <w:szCs w:val="24"/>
        </w:rPr>
      </w:pPr>
      <w:r w:rsidRPr="00A83B39">
        <w:rPr>
          <w:b/>
          <w:sz w:val="24"/>
          <w:szCs w:val="24"/>
        </w:rPr>
        <w:t>NB : Seule la différence entre la prime et l</w:t>
      </w:r>
      <w:r w:rsidR="00563052" w:rsidRPr="00A83B39">
        <w:rPr>
          <w:b/>
          <w:sz w:val="24"/>
          <w:szCs w:val="24"/>
        </w:rPr>
        <w:t>e</w:t>
      </w:r>
      <w:r w:rsidR="003A65AA" w:rsidRPr="00A83B39">
        <w:rPr>
          <w:b/>
          <w:sz w:val="24"/>
          <w:szCs w:val="24"/>
        </w:rPr>
        <w:t xml:space="preserve"> du</w:t>
      </w:r>
      <w:r w:rsidRPr="00A83B39">
        <w:rPr>
          <w:b/>
          <w:sz w:val="24"/>
          <w:szCs w:val="24"/>
        </w:rPr>
        <w:t xml:space="preserve"> coût de revient</w:t>
      </w:r>
      <w:r w:rsidR="003A65AA" w:rsidRPr="00A83B39">
        <w:rPr>
          <w:b/>
          <w:sz w:val="24"/>
          <w:szCs w:val="24"/>
        </w:rPr>
        <w:t xml:space="preserve"> </w:t>
      </w:r>
      <w:r w:rsidRPr="00A83B39">
        <w:rPr>
          <w:b/>
          <w:sz w:val="24"/>
          <w:szCs w:val="24"/>
        </w:rPr>
        <w:t>porte le nom de « résultat ». Dans tous les autres cas on parle de « marge ».</w:t>
      </w:r>
    </w:p>
    <w:p w:rsidR="00604E90" w:rsidRDefault="00604E90" w:rsidP="00871107">
      <w:pPr>
        <w:autoSpaceDE w:val="0"/>
        <w:autoSpaceDN w:val="0"/>
        <w:adjustRightInd w:val="0"/>
        <w:rPr>
          <w:b/>
          <w:sz w:val="24"/>
          <w:szCs w:val="24"/>
        </w:rPr>
      </w:pPr>
    </w:p>
    <w:p w:rsidR="00604E90" w:rsidRDefault="00604E90" w:rsidP="00871107">
      <w:pPr>
        <w:autoSpaceDE w:val="0"/>
        <w:autoSpaceDN w:val="0"/>
        <w:adjustRightInd w:val="0"/>
        <w:rPr>
          <w:b/>
          <w:sz w:val="24"/>
          <w:szCs w:val="24"/>
        </w:rPr>
      </w:pPr>
    </w:p>
    <w:p w:rsidR="00604E90" w:rsidRDefault="00604E90" w:rsidP="00871107">
      <w:pPr>
        <w:autoSpaceDE w:val="0"/>
        <w:autoSpaceDN w:val="0"/>
        <w:adjustRightInd w:val="0"/>
        <w:rPr>
          <w:b/>
          <w:sz w:val="24"/>
          <w:szCs w:val="24"/>
        </w:rPr>
      </w:pPr>
    </w:p>
    <w:p w:rsidR="00604E90" w:rsidRDefault="00604E90" w:rsidP="00871107">
      <w:pPr>
        <w:autoSpaceDE w:val="0"/>
        <w:autoSpaceDN w:val="0"/>
        <w:adjustRightInd w:val="0"/>
        <w:rPr>
          <w:b/>
          <w:sz w:val="24"/>
          <w:szCs w:val="24"/>
        </w:rPr>
      </w:pPr>
    </w:p>
    <w:p w:rsidR="00604E90" w:rsidRPr="00A83B39" w:rsidRDefault="00604E90" w:rsidP="00871107">
      <w:pPr>
        <w:autoSpaceDE w:val="0"/>
        <w:autoSpaceDN w:val="0"/>
        <w:adjustRightInd w:val="0"/>
        <w:rPr>
          <w:b/>
          <w:sz w:val="24"/>
          <w:szCs w:val="24"/>
        </w:rPr>
      </w:pPr>
    </w:p>
    <w:p w:rsidR="00CA05C5" w:rsidRPr="00A83B39" w:rsidRDefault="00CA05C5" w:rsidP="00CA05C5">
      <w:pPr>
        <w:autoSpaceDE w:val="0"/>
        <w:autoSpaceDN w:val="0"/>
        <w:adjustRightInd w:val="0"/>
        <w:jc w:val="left"/>
        <w:rPr>
          <w:rFonts w:ascii="TimesNewRoman,Bold" w:hAnsi="TimesNewRoman,Bold" w:cs="TimesNewRoman,Bold"/>
          <w:b/>
          <w:bCs/>
          <w:sz w:val="24"/>
          <w:szCs w:val="24"/>
        </w:rPr>
      </w:pPr>
    </w:p>
    <w:p w:rsidR="00CA05C5" w:rsidRPr="00A83B39" w:rsidRDefault="00CA05C5" w:rsidP="00826E93">
      <w:pPr>
        <w:numPr>
          <w:ilvl w:val="2"/>
          <w:numId w:val="9"/>
        </w:numPr>
        <w:ind w:left="1225" w:hanging="505"/>
        <w:outlineLvl w:val="3"/>
        <w:rPr>
          <w:sz w:val="28"/>
        </w:rPr>
      </w:pPr>
      <w:bookmarkStart w:id="7" w:name="_Toc351126728"/>
      <w:r w:rsidRPr="00A83B39">
        <w:rPr>
          <w:sz w:val="28"/>
        </w:rPr>
        <w:t>Coût constatés / préétablis</w:t>
      </w:r>
      <w:bookmarkEnd w:id="7"/>
    </w:p>
    <w:p w:rsidR="00A50483" w:rsidRPr="00A83B39" w:rsidRDefault="00A50483" w:rsidP="00A50483">
      <w:pPr>
        <w:ind w:left="1224"/>
        <w:rPr>
          <w:sz w:val="28"/>
        </w:rPr>
      </w:pPr>
    </w:p>
    <w:p w:rsidR="00CA05C5" w:rsidRPr="00A83B39" w:rsidRDefault="00CA05C5" w:rsidP="00CA05C5">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On distingue :</w:t>
      </w:r>
    </w:p>
    <w:p w:rsidR="00871107" w:rsidRPr="00A83B39" w:rsidRDefault="00871107" w:rsidP="00CA05C5">
      <w:pPr>
        <w:autoSpaceDE w:val="0"/>
        <w:autoSpaceDN w:val="0"/>
        <w:adjustRightInd w:val="0"/>
        <w:jc w:val="left"/>
        <w:rPr>
          <w:rFonts w:ascii="TimesNewRoman" w:hAnsi="TimesNewRoman" w:cs="TimesNewRoman"/>
          <w:sz w:val="24"/>
          <w:szCs w:val="24"/>
        </w:rPr>
      </w:pPr>
    </w:p>
    <w:p w:rsidR="00CA05C5" w:rsidRPr="00A83B39" w:rsidRDefault="00CA05C5" w:rsidP="00CA05C5">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 les coûts constatés, calculés à partir des charges réelles</w:t>
      </w:r>
    </w:p>
    <w:p w:rsidR="00CA05C5" w:rsidRDefault="00563052" w:rsidP="00CA05C5">
      <w:pPr>
        <w:spacing w:before="100" w:beforeAutospacing="1" w:after="100" w:afterAutospacing="1"/>
        <w:rPr>
          <w:rFonts w:ascii="TimesNewRoman" w:hAnsi="TimesNewRoman" w:cs="TimesNewRoman"/>
          <w:sz w:val="24"/>
          <w:szCs w:val="24"/>
        </w:rPr>
      </w:pPr>
      <w:r w:rsidRPr="00A83B39">
        <w:rPr>
          <w:rFonts w:ascii="TimesNewRoman" w:hAnsi="TimesNewRoman" w:cs="TimesNewRoman"/>
          <w:sz w:val="24"/>
          <w:szCs w:val="24"/>
        </w:rPr>
        <w:t>-</w:t>
      </w:r>
      <w:r w:rsidR="00CA05C5" w:rsidRPr="00A83B39">
        <w:rPr>
          <w:rFonts w:ascii="TimesNewRoman" w:hAnsi="TimesNewRoman" w:cs="TimesNewRoman"/>
          <w:sz w:val="24"/>
          <w:szCs w:val="24"/>
        </w:rPr>
        <w:t xml:space="preserve"> les coûts préétablis, calculés à partir d’estimations ou d’hypothèses.</w:t>
      </w:r>
    </w:p>
    <w:p w:rsidR="00604E90" w:rsidRPr="00A83B39" w:rsidRDefault="00604E90" w:rsidP="00CA05C5">
      <w:pPr>
        <w:spacing w:before="100" w:beforeAutospacing="1" w:after="100" w:afterAutospacing="1"/>
        <w:rPr>
          <w:rFonts w:ascii="TimesNewRoman" w:hAnsi="TimesNewRoman" w:cs="TimesNewRoman"/>
          <w:sz w:val="24"/>
          <w:szCs w:val="24"/>
        </w:rPr>
      </w:pPr>
    </w:p>
    <w:p w:rsidR="00CA05C5" w:rsidRPr="00A83B39" w:rsidRDefault="00CA05C5" w:rsidP="00826E93">
      <w:pPr>
        <w:numPr>
          <w:ilvl w:val="2"/>
          <w:numId w:val="9"/>
        </w:numPr>
        <w:ind w:left="1225" w:hanging="505"/>
        <w:outlineLvl w:val="3"/>
        <w:rPr>
          <w:sz w:val="28"/>
        </w:rPr>
      </w:pPr>
      <w:bookmarkStart w:id="8" w:name="_Toc351126729"/>
      <w:r w:rsidRPr="00A83B39">
        <w:rPr>
          <w:sz w:val="28"/>
        </w:rPr>
        <w:lastRenderedPageBreak/>
        <w:t>Coût partiels</w:t>
      </w:r>
      <w:r w:rsidR="00B0423A" w:rsidRPr="00A83B39">
        <w:rPr>
          <w:sz w:val="28"/>
        </w:rPr>
        <w:t xml:space="preserve"> </w:t>
      </w:r>
      <w:r w:rsidRPr="00A83B39">
        <w:rPr>
          <w:sz w:val="28"/>
        </w:rPr>
        <w:t>/ complets</w:t>
      </w:r>
      <w:bookmarkEnd w:id="8"/>
    </w:p>
    <w:p w:rsidR="00B0423A" w:rsidRPr="00A83B39" w:rsidRDefault="00B0423A" w:rsidP="00B0423A">
      <w:pPr>
        <w:autoSpaceDE w:val="0"/>
        <w:autoSpaceDN w:val="0"/>
        <w:adjustRightInd w:val="0"/>
        <w:jc w:val="left"/>
        <w:rPr>
          <w:rFonts w:ascii="TimesNewRoman" w:hAnsi="TimesNewRoman" w:cs="TimesNewRoman"/>
          <w:sz w:val="24"/>
          <w:szCs w:val="24"/>
        </w:rPr>
      </w:pPr>
    </w:p>
    <w:p w:rsidR="00133B64" w:rsidRPr="00A83B39" w:rsidRDefault="00133B64"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En reprenant la typologie des charges étudiées au paragraphe précédent, on peut calculer plusieurs types de coûts. Le coût qui prend en compte toutes les charges est appelé « coût complet » alors que les coûts qui ne prennent en compte que certaines charges sont appelés « coûts partiels ».</w:t>
      </w:r>
    </w:p>
    <w:p w:rsidR="00133B64" w:rsidRPr="00A83B39" w:rsidRDefault="00133B64" w:rsidP="00871107">
      <w:pPr>
        <w:autoSpaceDE w:val="0"/>
        <w:autoSpaceDN w:val="0"/>
        <w:adjustRightInd w:val="0"/>
        <w:rPr>
          <w:rFonts w:ascii="TimesNewRoman" w:hAnsi="TimesNewRoman" w:cs="TimesNewRoman"/>
          <w:sz w:val="24"/>
          <w:szCs w:val="24"/>
        </w:rPr>
      </w:pPr>
    </w:p>
    <w:p w:rsidR="00133B64" w:rsidRPr="00A83B39" w:rsidRDefault="00133B64" w:rsidP="00133B64">
      <w:pPr>
        <w:autoSpaceDE w:val="0"/>
        <w:autoSpaceDN w:val="0"/>
        <w:adjustRightInd w:val="0"/>
        <w:jc w:val="left"/>
        <w:rPr>
          <w:rFonts w:ascii="TimesNewRoman" w:hAnsi="TimesNewRoman" w:cs="TimesNewRoman"/>
          <w:sz w:val="24"/>
          <w:szCs w:val="24"/>
        </w:rPr>
      </w:pPr>
    </w:p>
    <w:p w:rsidR="00B0423A" w:rsidRPr="00A83B39" w:rsidRDefault="00B0423A" w:rsidP="00B0423A">
      <w:pPr>
        <w:autoSpaceDE w:val="0"/>
        <w:autoSpaceDN w:val="0"/>
        <w:adjustRightInd w:val="0"/>
        <w:jc w:val="left"/>
        <w:rPr>
          <w:sz w:val="24"/>
          <w:szCs w:val="24"/>
        </w:rPr>
      </w:pPr>
      <w:r w:rsidRPr="00A83B39">
        <w:rPr>
          <w:sz w:val="24"/>
          <w:szCs w:val="24"/>
        </w:rPr>
        <w:t>Coûts partiels :</w:t>
      </w:r>
    </w:p>
    <w:p w:rsidR="00B0423A" w:rsidRPr="00A83B39" w:rsidRDefault="00B0423A" w:rsidP="00B0423A">
      <w:pPr>
        <w:autoSpaceDE w:val="0"/>
        <w:autoSpaceDN w:val="0"/>
        <w:adjustRightInd w:val="0"/>
        <w:jc w:val="left"/>
        <w:rPr>
          <w:sz w:val="24"/>
          <w:szCs w:val="24"/>
        </w:rPr>
      </w:pPr>
    </w:p>
    <w:p w:rsidR="00B0423A" w:rsidRPr="00A83B39" w:rsidRDefault="00B0423A" w:rsidP="00B0423A">
      <w:pPr>
        <w:autoSpaceDE w:val="0"/>
        <w:autoSpaceDN w:val="0"/>
        <w:adjustRightInd w:val="0"/>
        <w:jc w:val="left"/>
        <w:rPr>
          <w:sz w:val="24"/>
          <w:szCs w:val="24"/>
        </w:rPr>
      </w:pPr>
      <w:r w:rsidRPr="00A83B39">
        <w:rPr>
          <w:sz w:val="24"/>
          <w:szCs w:val="24"/>
        </w:rPr>
        <w:tab/>
        <w:t>Coût variable :</w:t>
      </w:r>
    </w:p>
    <w:p w:rsidR="00B0423A" w:rsidRPr="00A83B39" w:rsidRDefault="00B0423A" w:rsidP="00B0423A">
      <w:pPr>
        <w:autoSpaceDE w:val="0"/>
        <w:autoSpaceDN w:val="0"/>
        <w:adjustRightInd w:val="0"/>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B0423A" w:rsidRPr="00A83B39" w:rsidTr="00B0423A">
        <w:trPr>
          <w:jc w:val="center"/>
        </w:trPr>
        <w:tc>
          <w:tcPr>
            <w:tcW w:w="3070" w:type="dxa"/>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Charges</w:t>
            </w:r>
          </w:p>
        </w:tc>
        <w:tc>
          <w:tcPr>
            <w:tcW w:w="3071" w:type="dxa"/>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Fixes</w:t>
            </w:r>
          </w:p>
        </w:tc>
        <w:tc>
          <w:tcPr>
            <w:tcW w:w="3071" w:type="dxa"/>
            <w:tcBorders>
              <w:bottom w:val="single" w:sz="4" w:space="0" w:color="auto"/>
            </w:tcBorders>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Variables</w:t>
            </w:r>
          </w:p>
        </w:tc>
      </w:tr>
      <w:tr w:rsidR="00B0423A" w:rsidRPr="00A83B39" w:rsidTr="00B0423A">
        <w:trPr>
          <w:jc w:val="center"/>
        </w:trPr>
        <w:tc>
          <w:tcPr>
            <w:tcW w:w="3070" w:type="dxa"/>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Directes</w:t>
            </w:r>
          </w:p>
        </w:tc>
        <w:tc>
          <w:tcPr>
            <w:tcW w:w="3071" w:type="dxa"/>
            <w:vAlign w:val="center"/>
          </w:tcPr>
          <w:p w:rsidR="00B0423A" w:rsidRPr="00A83B39" w:rsidRDefault="00B0423A" w:rsidP="00013736">
            <w:pPr>
              <w:spacing w:before="100" w:beforeAutospacing="1" w:after="100" w:afterAutospacing="1"/>
              <w:jc w:val="left"/>
              <w:rPr>
                <w:sz w:val="24"/>
                <w:szCs w:val="24"/>
              </w:rPr>
            </w:pPr>
          </w:p>
        </w:tc>
        <w:tc>
          <w:tcPr>
            <w:tcW w:w="3071" w:type="dxa"/>
            <w:shd w:val="clear" w:color="auto" w:fill="7F7F7F"/>
            <w:vAlign w:val="center"/>
          </w:tcPr>
          <w:p w:rsidR="00B0423A" w:rsidRPr="00A83B39" w:rsidRDefault="00B0423A" w:rsidP="00013736">
            <w:pPr>
              <w:spacing w:before="100" w:beforeAutospacing="1" w:after="100" w:afterAutospacing="1"/>
              <w:jc w:val="left"/>
              <w:rPr>
                <w:sz w:val="24"/>
                <w:szCs w:val="24"/>
              </w:rPr>
            </w:pPr>
          </w:p>
        </w:tc>
      </w:tr>
      <w:tr w:rsidR="00B0423A" w:rsidRPr="00A83B39" w:rsidTr="00B0423A">
        <w:trPr>
          <w:jc w:val="center"/>
        </w:trPr>
        <w:tc>
          <w:tcPr>
            <w:tcW w:w="3070" w:type="dxa"/>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Indirectes</w:t>
            </w:r>
          </w:p>
        </w:tc>
        <w:tc>
          <w:tcPr>
            <w:tcW w:w="3071" w:type="dxa"/>
            <w:vAlign w:val="center"/>
          </w:tcPr>
          <w:p w:rsidR="00B0423A" w:rsidRPr="00A83B39" w:rsidRDefault="00B0423A" w:rsidP="00013736">
            <w:pPr>
              <w:spacing w:before="100" w:beforeAutospacing="1" w:after="100" w:afterAutospacing="1"/>
              <w:jc w:val="left"/>
              <w:rPr>
                <w:sz w:val="24"/>
                <w:szCs w:val="24"/>
              </w:rPr>
            </w:pPr>
          </w:p>
        </w:tc>
        <w:tc>
          <w:tcPr>
            <w:tcW w:w="3071" w:type="dxa"/>
            <w:shd w:val="clear" w:color="auto" w:fill="7F7F7F"/>
            <w:vAlign w:val="center"/>
          </w:tcPr>
          <w:p w:rsidR="00B0423A" w:rsidRPr="00A83B39" w:rsidRDefault="00B0423A" w:rsidP="00013736">
            <w:pPr>
              <w:spacing w:before="100" w:beforeAutospacing="1" w:after="100" w:afterAutospacing="1"/>
              <w:jc w:val="left"/>
              <w:rPr>
                <w:sz w:val="24"/>
                <w:szCs w:val="24"/>
              </w:rPr>
            </w:pPr>
          </w:p>
        </w:tc>
      </w:tr>
    </w:tbl>
    <w:p w:rsidR="00B0423A" w:rsidRPr="00A83B39" w:rsidRDefault="00B0423A" w:rsidP="00B0423A">
      <w:pPr>
        <w:autoSpaceDE w:val="0"/>
        <w:autoSpaceDN w:val="0"/>
        <w:adjustRightInd w:val="0"/>
        <w:jc w:val="left"/>
        <w:rPr>
          <w:sz w:val="24"/>
          <w:szCs w:val="24"/>
        </w:rPr>
      </w:pPr>
    </w:p>
    <w:p w:rsidR="00133B64" w:rsidRPr="00A83B39" w:rsidRDefault="00133B64" w:rsidP="00133B64">
      <w:pPr>
        <w:autoSpaceDE w:val="0"/>
        <w:autoSpaceDN w:val="0"/>
        <w:adjustRightInd w:val="0"/>
        <w:jc w:val="left"/>
        <w:rPr>
          <w:sz w:val="24"/>
          <w:szCs w:val="24"/>
        </w:rPr>
      </w:pPr>
      <w:r w:rsidRPr="00A83B39">
        <w:rPr>
          <w:sz w:val="24"/>
          <w:szCs w:val="24"/>
        </w:rPr>
        <w:tab/>
      </w:r>
    </w:p>
    <w:p w:rsidR="00133B64" w:rsidRPr="00A83B39" w:rsidRDefault="00133B64" w:rsidP="00133B64">
      <w:pPr>
        <w:autoSpaceDE w:val="0"/>
        <w:autoSpaceDN w:val="0"/>
        <w:adjustRightInd w:val="0"/>
        <w:jc w:val="left"/>
        <w:rPr>
          <w:sz w:val="24"/>
          <w:szCs w:val="24"/>
        </w:rPr>
      </w:pPr>
      <w:r w:rsidRPr="00A83B39">
        <w:rPr>
          <w:sz w:val="24"/>
          <w:szCs w:val="24"/>
        </w:rPr>
        <w:tab/>
        <w:t>Coût fixe :</w:t>
      </w:r>
    </w:p>
    <w:p w:rsidR="00133B64" w:rsidRPr="00A83B39" w:rsidRDefault="00133B64" w:rsidP="00133B64">
      <w:pPr>
        <w:autoSpaceDE w:val="0"/>
        <w:autoSpaceDN w:val="0"/>
        <w:adjustRightInd w:val="0"/>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133B64" w:rsidRPr="00A83B39" w:rsidTr="00133B64">
        <w:trPr>
          <w:jc w:val="center"/>
        </w:trPr>
        <w:tc>
          <w:tcPr>
            <w:tcW w:w="3070" w:type="dxa"/>
            <w:vAlign w:val="center"/>
          </w:tcPr>
          <w:p w:rsidR="00133B64" w:rsidRPr="00A83B39" w:rsidRDefault="00133B64" w:rsidP="00013736">
            <w:pPr>
              <w:spacing w:before="100" w:beforeAutospacing="1" w:after="100" w:afterAutospacing="1"/>
              <w:jc w:val="center"/>
              <w:rPr>
                <w:sz w:val="24"/>
                <w:szCs w:val="24"/>
              </w:rPr>
            </w:pPr>
            <w:r w:rsidRPr="00A83B39">
              <w:rPr>
                <w:sz w:val="24"/>
                <w:szCs w:val="24"/>
              </w:rPr>
              <w:t>Charges</w:t>
            </w:r>
          </w:p>
        </w:tc>
        <w:tc>
          <w:tcPr>
            <w:tcW w:w="3071" w:type="dxa"/>
            <w:tcBorders>
              <w:bottom w:val="single" w:sz="4" w:space="0" w:color="auto"/>
            </w:tcBorders>
            <w:vAlign w:val="center"/>
          </w:tcPr>
          <w:p w:rsidR="00133B64" w:rsidRPr="00A83B39" w:rsidRDefault="00133B64" w:rsidP="00013736">
            <w:pPr>
              <w:spacing w:before="100" w:beforeAutospacing="1" w:after="100" w:afterAutospacing="1"/>
              <w:jc w:val="center"/>
              <w:rPr>
                <w:sz w:val="24"/>
                <w:szCs w:val="24"/>
              </w:rPr>
            </w:pPr>
            <w:r w:rsidRPr="00A83B39">
              <w:rPr>
                <w:sz w:val="24"/>
                <w:szCs w:val="24"/>
              </w:rPr>
              <w:t>Fixes</w:t>
            </w:r>
          </w:p>
        </w:tc>
        <w:tc>
          <w:tcPr>
            <w:tcW w:w="3071" w:type="dxa"/>
            <w:tcBorders>
              <w:bottom w:val="single" w:sz="4" w:space="0" w:color="auto"/>
            </w:tcBorders>
            <w:vAlign w:val="center"/>
          </w:tcPr>
          <w:p w:rsidR="00133B64" w:rsidRPr="00A83B39" w:rsidRDefault="00133B64" w:rsidP="00013736">
            <w:pPr>
              <w:spacing w:before="100" w:beforeAutospacing="1" w:after="100" w:afterAutospacing="1"/>
              <w:jc w:val="center"/>
              <w:rPr>
                <w:sz w:val="24"/>
                <w:szCs w:val="24"/>
              </w:rPr>
            </w:pPr>
            <w:r w:rsidRPr="00A83B39">
              <w:rPr>
                <w:sz w:val="24"/>
                <w:szCs w:val="24"/>
              </w:rPr>
              <w:t>Variables</w:t>
            </w:r>
          </w:p>
        </w:tc>
      </w:tr>
      <w:tr w:rsidR="00133B64" w:rsidRPr="00A83B39" w:rsidTr="00133B64">
        <w:trPr>
          <w:jc w:val="center"/>
        </w:trPr>
        <w:tc>
          <w:tcPr>
            <w:tcW w:w="3070" w:type="dxa"/>
            <w:vAlign w:val="center"/>
          </w:tcPr>
          <w:p w:rsidR="00133B64" w:rsidRPr="00A83B39" w:rsidRDefault="00133B64" w:rsidP="00013736">
            <w:pPr>
              <w:spacing w:before="100" w:beforeAutospacing="1" w:after="100" w:afterAutospacing="1"/>
              <w:jc w:val="center"/>
              <w:rPr>
                <w:sz w:val="24"/>
                <w:szCs w:val="24"/>
              </w:rPr>
            </w:pPr>
            <w:r w:rsidRPr="00A83B39">
              <w:rPr>
                <w:sz w:val="24"/>
                <w:szCs w:val="24"/>
              </w:rPr>
              <w:t>Directes</w:t>
            </w:r>
          </w:p>
        </w:tc>
        <w:tc>
          <w:tcPr>
            <w:tcW w:w="3071" w:type="dxa"/>
            <w:shd w:val="clear" w:color="auto" w:fill="7F7F7F"/>
            <w:vAlign w:val="center"/>
          </w:tcPr>
          <w:p w:rsidR="00133B64" w:rsidRPr="00A83B39" w:rsidRDefault="00133B64" w:rsidP="00013736">
            <w:pPr>
              <w:spacing w:before="100" w:beforeAutospacing="1" w:after="100" w:afterAutospacing="1"/>
              <w:jc w:val="left"/>
              <w:rPr>
                <w:sz w:val="24"/>
                <w:szCs w:val="24"/>
              </w:rPr>
            </w:pPr>
          </w:p>
        </w:tc>
        <w:tc>
          <w:tcPr>
            <w:tcW w:w="3071" w:type="dxa"/>
            <w:shd w:val="clear" w:color="auto" w:fill="auto"/>
            <w:vAlign w:val="center"/>
          </w:tcPr>
          <w:p w:rsidR="00133B64" w:rsidRPr="00A83B39" w:rsidRDefault="00133B64" w:rsidP="00013736">
            <w:pPr>
              <w:spacing w:before="100" w:beforeAutospacing="1" w:after="100" w:afterAutospacing="1"/>
              <w:jc w:val="left"/>
              <w:rPr>
                <w:sz w:val="24"/>
                <w:szCs w:val="24"/>
              </w:rPr>
            </w:pPr>
          </w:p>
        </w:tc>
      </w:tr>
      <w:tr w:rsidR="00133B64" w:rsidRPr="00A83B39" w:rsidTr="00133B64">
        <w:trPr>
          <w:jc w:val="center"/>
        </w:trPr>
        <w:tc>
          <w:tcPr>
            <w:tcW w:w="3070" w:type="dxa"/>
            <w:vAlign w:val="center"/>
          </w:tcPr>
          <w:p w:rsidR="00133B64" w:rsidRPr="00A83B39" w:rsidRDefault="00133B64" w:rsidP="00013736">
            <w:pPr>
              <w:spacing w:before="100" w:beforeAutospacing="1" w:after="100" w:afterAutospacing="1"/>
              <w:jc w:val="center"/>
              <w:rPr>
                <w:sz w:val="24"/>
                <w:szCs w:val="24"/>
              </w:rPr>
            </w:pPr>
            <w:r w:rsidRPr="00A83B39">
              <w:rPr>
                <w:sz w:val="24"/>
                <w:szCs w:val="24"/>
              </w:rPr>
              <w:t>Indirectes</w:t>
            </w:r>
          </w:p>
        </w:tc>
        <w:tc>
          <w:tcPr>
            <w:tcW w:w="3071" w:type="dxa"/>
            <w:shd w:val="clear" w:color="auto" w:fill="7F7F7F"/>
            <w:vAlign w:val="center"/>
          </w:tcPr>
          <w:p w:rsidR="00133B64" w:rsidRPr="00A83B39" w:rsidRDefault="00133B64" w:rsidP="00013736">
            <w:pPr>
              <w:spacing w:before="100" w:beforeAutospacing="1" w:after="100" w:afterAutospacing="1"/>
              <w:jc w:val="left"/>
              <w:rPr>
                <w:sz w:val="24"/>
                <w:szCs w:val="24"/>
              </w:rPr>
            </w:pPr>
          </w:p>
        </w:tc>
        <w:tc>
          <w:tcPr>
            <w:tcW w:w="3071" w:type="dxa"/>
            <w:shd w:val="clear" w:color="auto" w:fill="auto"/>
            <w:vAlign w:val="center"/>
          </w:tcPr>
          <w:p w:rsidR="00133B64" w:rsidRPr="00A83B39" w:rsidRDefault="00133B64" w:rsidP="00013736">
            <w:pPr>
              <w:spacing w:before="100" w:beforeAutospacing="1" w:after="100" w:afterAutospacing="1"/>
              <w:jc w:val="left"/>
              <w:rPr>
                <w:sz w:val="24"/>
                <w:szCs w:val="24"/>
              </w:rPr>
            </w:pPr>
          </w:p>
        </w:tc>
      </w:tr>
    </w:tbl>
    <w:p w:rsidR="00133B64" w:rsidRPr="00A83B39" w:rsidRDefault="00133B64" w:rsidP="00133B64">
      <w:pPr>
        <w:autoSpaceDE w:val="0"/>
        <w:autoSpaceDN w:val="0"/>
        <w:adjustRightInd w:val="0"/>
        <w:jc w:val="left"/>
        <w:rPr>
          <w:sz w:val="24"/>
          <w:szCs w:val="24"/>
        </w:rPr>
      </w:pPr>
    </w:p>
    <w:p w:rsidR="00B0423A" w:rsidRPr="00A83B39" w:rsidRDefault="00B0423A" w:rsidP="00B0423A">
      <w:pPr>
        <w:autoSpaceDE w:val="0"/>
        <w:autoSpaceDN w:val="0"/>
        <w:adjustRightInd w:val="0"/>
        <w:jc w:val="left"/>
        <w:rPr>
          <w:sz w:val="24"/>
          <w:szCs w:val="24"/>
        </w:rPr>
      </w:pPr>
    </w:p>
    <w:p w:rsidR="00B0423A" w:rsidRPr="00A83B39" w:rsidRDefault="00B0423A" w:rsidP="00B0423A">
      <w:pPr>
        <w:autoSpaceDE w:val="0"/>
        <w:autoSpaceDN w:val="0"/>
        <w:adjustRightInd w:val="0"/>
        <w:jc w:val="left"/>
        <w:rPr>
          <w:sz w:val="24"/>
          <w:szCs w:val="24"/>
        </w:rPr>
      </w:pPr>
      <w:r w:rsidRPr="00A83B39">
        <w:rPr>
          <w:sz w:val="24"/>
          <w:szCs w:val="24"/>
        </w:rPr>
        <w:tab/>
        <w:t>Coût spécifique :</w:t>
      </w:r>
    </w:p>
    <w:p w:rsidR="00B0423A" w:rsidRPr="00A83B39" w:rsidRDefault="00B0423A" w:rsidP="00B0423A">
      <w:pPr>
        <w:autoSpaceDE w:val="0"/>
        <w:autoSpaceDN w:val="0"/>
        <w:adjustRightInd w:val="0"/>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B0423A" w:rsidRPr="00A83B39" w:rsidTr="00B0423A">
        <w:trPr>
          <w:jc w:val="center"/>
        </w:trPr>
        <w:tc>
          <w:tcPr>
            <w:tcW w:w="3070" w:type="dxa"/>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Charges</w:t>
            </w:r>
          </w:p>
        </w:tc>
        <w:tc>
          <w:tcPr>
            <w:tcW w:w="3071" w:type="dxa"/>
            <w:tcBorders>
              <w:bottom w:val="single" w:sz="4" w:space="0" w:color="auto"/>
            </w:tcBorders>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Fixes</w:t>
            </w:r>
          </w:p>
        </w:tc>
        <w:tc>
          <w:tcPr>
            <w:tcW w:w="3071" w:type="dxa"/>
            <w:tcBorders>
              <w:bottom w:val="single" w:sz="4" w:space="0" w:color="auto"/>
            </w:tcBorders>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Variables</w:t>
            </w:r>
          </w:p>
        </w:tc>
      </w:tr>
      <w:tr w:rsidR="00B0423A" w:rsidRPr="00A83B39" w:rsidTr="00B0423A">
        <w:trPr>
          <w:jc w:val="center"/>
        </w:trPr>
        <w:tc>
          <w:tcPr>
            <w:tcW w:w="3070" w:type="dxa"/>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Directes</w:t>
            </w:r>
          </w:p>
        </w:tc>
        <w:tc>
          <w:tcPr>
            <w:tcW w:w="3071" w:type="dxa"/>
            <w:shd w:val="clear" w:color="auto" w:fill="7F7F7F"/>
            <w:vAlign w:val="center"/>
          </w:tcPr>
          <w:p w:rsidR="00B0423A" w:rsidRPr="00A83B39" w:rsidRDefault="00B0423A" w:rsidP="00013736">
            <w:pPr>
              <w:spacing w:before="100" w:beforeAutospacing="1" w:after="100" w:afterAutospacing="1"/>
              <w:jc w:val="left"/>
              <w:rPr>
                <w:sz w:val="24"/>
                <w:szCs w:val="24"/>
              </w:rPr>
            </w:pPr>
          </w:p>
        </w:tc>
        <w:tc>
          <w:tcPr>
            <w:tcW w:w="3071" w:type="dxa"/>
            <w:tcBorders>
              <w:bottom w:val="single" w:sz="4" w:space="0" w:color="auto"/>
            </w:tcBorders>
            <w:shd w:val="clear" w:color="auto" w:fill="7F7F7F"/>
            <w:vAlign w:val="center"/>
          </w:tcPr>
          <w:p w:rsidR="00B0423A" w:rsidRPr="00A83B39" w:rsidRDefault="00B0423A" w:rsidP="00013736">
            <w:pPr>
              <w:spacing w:before="100" w:beforeAutospacing="1" w:after="100" w:afterAutospacing="1"/>
              <w:jc w:val="left"/>
              <w:rPr>
                <w:sz w:val="24"/>
                <w:szCs w:val="24"/>
              </w:rPr>
            </w:pPr>
          </w:p>
        </w:tc>
      </w:tr>
      <w:tr w:rsidR="00B0423A" w:rsidRPr="00A83B39" w:rsidTr="00B0423A">
        <w:trPr>
          <w:jc w:val="center"/>
        </w:trPr>
        <w:tc>
          <w:tcPr>
            <w:tcW w:w="3070" w:type="dxa"/>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Indirectes</w:t>
            </w:r>
          </w:p>
        </w:tc>
        <w:tc>
          <w:tcPr>
            <w:tcW w:w="3071" w:type="dxa"/>
            <w:vAlign w:val="center"/>
          </w:tcPr>
          <w:p w:rsidR="00B0423A" w:rsidRPr="00A83B39" w:rsidRDefault="00B0423A" w:rsidP="00013736">
            <w:pPr>
              <w:spacing w:before="100" w:beforeAutospacing="1" w:after="100" w:afterAutospacing="1"/>
              <w:jc w:val="left"/>
              <w:rPr>
                <w:sz w:val="24"/>
                <w:szCs w:val="24"/>
              </w:rPr>
            </w:pPr>
          </w:p>
        </w:tc>
        <w:tc>
          <w:tcPr>
            <w:tcW w:w="3071" w:type="dxa"/>
            <w:shd w:val="clear" w:color="auto" w:fill="7F7F7F"/>
            <w:vAlign w:val="center"/>
          </w:tcPr>
          <w:p w:rsidR="00B0423A" w:rsidRPr="00A83B39" w:rsidRDefault="00B0423A" w:rsidP="00013736">
            <w:pPr>
              <w:spacing w:before="100" w:beforeAutospacing="1" w:after="100" w:afterAutospacing="1"/>
              <w:jc w:val="left"/>
              <w:rPr>
                <w:sz w:val="24"/>
                <w:szCs w:val="24"/>
              </w:rPr>
            </w:pPr>
          </w:p>
        </w:tc>
      </w:tr>
    </w:tbl>
    <w:p w:rsidR="00B0423A" w:rsidRPr="00A83B39" w:rsidRDefault="00B0423A" w:rsidP="00B0423A">
      <w:pPr>
        <w:autoSpaceDE w:val="0"/>
        <w:autoSpaceDN w:val="0"/>
        <w:adjustRightInd w:val="0"/>
        <w:jc w:val="left"/>
        <w:rPr>
          <w:sz w:val="24"/>
          <w:szCs w:val="24"/>
        </w:rPr>
      </w:pPr>
    </w:p>
    <w:p w:rsidR="00B0423A" w:rsidRPr="00A83B39" w:rsidRDefault="00B0423A" w:rsidP="00B0423A">
      <w:pPr>
        <w:autoSpaceDE w:val="0"/>
        <w:autoSpaceDN w:val="0"/>
        <w:adjustRightInd w:val="0"/>
        <w:jc w:val="left"/>
        <w:rPr>
          <w:sz w:val="24"/>
          <w:szCs w:val="24"/>
        </w:rPr>
      </w:pPr>
    </w:p>
    <w:p w:rsidR="00B0423A" w:rsidRPr="00A83B39" w:rsidRDefault="00B0423A" w:rsidP="00B0423A">
      <w:pPr>
        <w:autoSpaceDE w:val="0"/>
        <w:autoSpaceDN w:val="0"/>
        <w:adjustRightInd w:val="0"/>
        <w:jc w:val="left"/>
        <w:rPr>
          <w:sz w:val="24"/>
          <w:szCs w:val="24"/>
        </w:rPr>
      </w:pPr>
      <w:r w:rsidRPr="00A83B39">
        <w:rPr>
          <w:sz w:val="24"/>
          <w:szCs w:val="24"/>
        </w:rPr>
        <w:t>Coût complet :</w:t>
      </w:r>
    </w:p>
    <w:p w:rsidR="00B0423A" w:rsidRPr="00A83B39" w:rsidRDefault="00B0423A" w:rsidP="00B0423A">
      <w:pPr>
        <w:autoSpaceDE w:val="0"/>
        <w:autoSpaceDN w:val="0"/>
        <w:adjustRightInd w:val="0"/>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B0423A" w:rsidRPr="00A83B39" w:rsidTr="00B0423A">
        <w:trPr>
          <w:jc w:val="center"/>
        </w:trPr>
        <w:tc>
          <w:tcPr>
            <w:tcW w:w="3070" w:type="dxa"/>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Charges</w:t>
            </w:r>
          </w:p>
        </w:tc>
        <w:tc>
          <w:tcPr>
            <w:tcW w:w="3071" w:type="dxa"/>
            <w:tcBorders>
              <w:bottom w:val="single" w:sz="4" w:space="0" w:color="auto"/>
            </w:tcBorders>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Fixes</w:t>
            </w:r>
          </w:p>
        </w:tc>
        <w:tc>
          <w:tcPr>
            <w:tcW w:w="3071" w:type="dxa"/>
            <w:tcBorders>
              <w:bottom w:val="single" w:sz="4" w:space="0" w:color="auto"/>
            </w:tcBorders>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Variables</w:t>
            </w:r>
          </w:p>
        </w:tc>
      </w:tr>
      <w:tr w:rsidR="00B0423A" w:rsidRPr="00A83B39" w:rsidTr="00B0423A">
        <w:trPr>
          <w:jc w:val="center"/>
        </w:trPr>
        <w:tc>
          <w:tcPr>
            <w:tcW w:w="3070" w:type="dxa"/>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Directes</w:t>
            </w:r>
          </w:p>
        </w:tc>
        <w:tc>
          <w:tcPr>
            <w:tcW w:w="3071" w:type="dxa"/>
            <w:shd w:val="clear" w:color="auto" w:fill="7F7F7F"/>
            <w:vAlign w:val="center"/>
          </w:tcPr>
          <w:p w:rsidR="00B0423A" w:rsidRPr="00A83B39" w:rsidRDefault="00B0423A" w:rsidP="00013736">
            <w:pPr>
              <w:spacing w:before="100" w:beforeAutospacing="1" w:after="100" w:afterAutospacing="1"/>
              <w:jc w:val="left"/>
              <w:rPr>
                <w:sz w:val="24"/>
                <w:szCs w:val="24"/>
              </w:rPr>
            </w:pPr>
          </w:p>
        </w:tc>
        <w:tc>
          <w:tcPr>
            <w:tcW w:w="3071" w:type="dxa"/>
            <w:shd w:val="clear" w:color="auto" w:fill="7F7F7F"/>
            <w:vAlign w:val="center"/>
          </w:tcPr>
          <w:p w:rsidR="00B0423A" w:rsidRPr="00A83B39" w:rsidRDefault="00B0423A" w:rsidP="00013736">
            <w:pPr>
              <w:spacing w:before="100" w:beforeAutospacing="1" w:after="100" w:afterAutospacing="1"/>
              <w:jc w:val="left"/>
              <w:rPr>
                <w:sz w:val="24"/>
                <w:szCs w:val="24"/>
              </w:rPr>
            </w:pPr>
          </w:p>
        </w:tc>
      </w:tr>
      <w:tr w:rsidR="00B0423A" w:rsidRPr="00A83B39" w:rsidTr="00B0423A">
        <w:trPr>
          <w:jc w:val="center"/>
        </w:trPr>
        <w:tc>
          <w:tcPr>
            <w:tcW w:w="3070" w:type="dxa"/>
            <w:vAlign w:val="center"/>
          </w:tcPr>
          <w:p w:rsidR="00B0423A" w:rsidRPr="00A83B39" w:rsidRDefault="00B0423A" w:rsidP="00013736">
            <w:pPr>
              <w:spacing w:before="100" w:beforeAutospacing="1" w:after="100" w:afterAutospacing="1"/>
              <w:jc w:val="center"/>
              <w:rPr>
                <w:sz w:val="24"/>
                <w:szCs w:val="24"/>
              </w:rPr>
            </w:pPr>
            <w:r w:rsidRPr="00A83B39">
              <w:rPr>
                <w:sz w:val="24"/>
                <w:szCs w:val="24"/>
              </w:rPr>
              <w:t>Indirectes</w:t>
            </w:r>
          </w:p>
        </w:tc>
        <w:tc>
          <w:tcPr>
            <w:tcW w:w="3071" w:type="dxa"/>
            <w:shd w:val="clear" w:color="auto" w:fill="7F7F7F"/>
            <w:vAlign w:val="center"/>
          </w:tcPr>
          <w:p w:rsidR="00B0423A" w:rsidRPr="00A83B39" w:rsidRDefault="00B0423A" w:rsidP="00013736">
            <w:pPr>
              <w:spacing w:before="100" w:beforeAutospacing="1" w:after="100" w:afterAutospacing="1"/>
              <w:jc w:val="left"/>
              <w:rPr>
                <w:sz w:val="24"/>
                <w:szCs w:val="24"/>
              </w:rPr>
            </w:pPr>
          </w:p>
        </w:tc>
        <w:tc>
          <w:tcPr>
            <w:tcW w:w="3071" w:type="dxa"/>
            <w:shd w:val="clear" w:color="auto" w:fill="7F7F7F"/>
            <w:vAlign w:val="center"/>
          </w:tcPr>
          <w:p w:rsidR="00B0423A" w:rsidRPr="00A83B39" w:rsidRDefault="00B0423A" w:rsidP="00013736">
            <w:pPr>
              <w:spacing w:before="100" w:beforeAutospacing="1" w:after="100" w:afterAutospacing="1"/>
              <w:jc w:val="left"/>
              <w:rPr>
                <w:sz w:val="24"/>
                <w:szCs w:val="24"/>
              </w:rPr>
            </w:pPr>
          </w:p>
        </w:tc>
      </w:tr>
    </w:tbl>
    <w:p w:rsidR="00B0423A" w:rsidRPr="00A83B39" w:rsidRDefault="00B0423A" w:rsidP="00B0423A">
      <w:pPr>
        <w:autoSpaceDE w:val="0"/>
        <w:autoSpaceDN w:val="0"/>
        <w:adjustRightInd w:val="0"/>
        <w:jc w:val="left"/>
        <w:rPr>
          <w:rFonts w:ascii="TimesNewRoman" w:hAnsi="TimesNewRoman" w:cs="TimesNewRoman"/>
          <w:sz w:val="24"/>
          <w:szCs w:val="24"/>
        </w:rPr>
      </w:pPr>
    </w:p>
    <w:p w:rsidR="00A50483" w:rsidRPr="00A83B39" w:rsidRDefault="00A50483" w:rsidP="00B0423A">
      <w:pPr>
        <w:autoSpaceDE w:val="0"/>
        <w:autoSpaceDN w:val="0"/>
        <w:adjustRightInd w:val="0"/>
        <w:jc w:val="left"/>
        <w:rPr>
          <w:rFonts w:ascii="TimesNewRoman" w:hAnsi="TimesNewRoman" w:cs="TimesNewRoman"/>
          <w:sz w:val="24"/>
          <w:szCs w:val="24"/>
        </w:rPr>
      </w:pPr>
    </w:p>
    <w:p w:rsidR="00A50483" w:rsidRDefault="00A50483" w:rsidP="00A50483">
      <w:pPr>
        <w:autoSpaceDE w:val="0"/>
        <w:autoSpaceDN w:val="0"/>
        <w:adjustRightInd w:val="0"/>
        <w:jc w:val="left"/>
        <w:rPr>
          <w:rFonts w:ascii="TimesNewRoman" w:hAnsi="TimesNewRoman" w:cs="TimesNewRoman"/>
          <w:b/>
          <w:sz w:val="24"/>
          <w:szCs w:val="24"/>
        </w:rPr>
      </w:pPr>
      <w:r w:rsidRPr="00A83B39">
        <w:rPr>
          <w:rFonts w:ascii="TimesNewRoman" w:hAnsi="TimesNewRoman" w:cs="TimesNewRoman"/>
          <w:b/>
          <w:sz w:val="24"/>
          <w:szCs w:val="24"/>
        </w:rPr>
        <w:t>Attention, les coûts ne sont pas les seuls éléments à prendre en considération pour une décision de gestion : il faut également envisager les aspects commerciaux, humains et stratégiques de la décision.</w:t>
      </w:r>
    </w:p>
    <w:p w:rsidR="00BB4E8F" w:rsidRDefault="00BB4E8F" w:rsidP="00A50483">
      <w:pPr>
        <w:autoSpaceDE w:val="0"/>
        <w:autoSpaceDN w:val="0"/>
        <w:adjustRightInd w:val="0"/>
        <w:jc w:val="left"/>
        <w:rPr>
          <w:rFonts w:ascii="TimesNewRoman" w:hAnsi="TimesNewRoman" w:cs="TimesNewRoman"/>
          <w:b/>
          <w:sz w:val="24"/>
          <w:szCs w:val="24"/>
        </w:rPr>
      </w:pPr>
    </w:p>
    <w:p w:rsidR="00BB4E8F" w:rsidRPr="00A83B39" w:rsidRDefault="00BB4E8F" w:rsidP="00A50483">
      <w:pPr>
        <w:autoSpaceDE w:val="0"/>
        <w:autoSpaceDN w:val="0"/>
        <w:adjustRightInd w:val="0"/>
        <w:jc w:val="left"/>
        <w:rPr>
          <w:rFonts w:ascii="TimesNewRoman" w:hAnsi="TimesNewRoman" w:cs="TimesNewRoman"/>
          <w:b/>
          <w:sz w:val="24"/>
          <w:szCs w:val="24"/>
        </w:rPr>
      </w:pPr>
    </w:p>
    <w:p w:rsidR="00A50483" w:rsidRPr="00A83B39" w:rsidRDefault="00A50483" w:rsidP="00826E93">
      <w:pPr>
        <w:numPr>
          <w:ilvl w:val="0"/>
          <w:numId w:val="8"/>
        </w:numPr>
        <w:ind w:left="357" w:hanging="357"/>
        <w:outlineLvl w:val="1"/>
        <w:rPr>
          <w:sz w:val="28"/>
        </w:rPr>
      </w:pPr>
      <w:bookmarkStart w:id="9" w:name="_Toc351126730"/>
      <w:r w:rsidRPr="00A83B39">
        <w:rPr>
          <w:sz w:val="28"/>
        </w:rPr>
        <w:t>Les couts partiels</w:t>
      </w:r>
      <w:bookmarkEnd w:id="9"/>
    </w:p>
    <w:p w:rsidR="00A50483" w:rsidRPr="00A83B39" w:rsidRDefault="00A50483" w:rsidP="00A50483">
      <w:pPr>
        <w:autoSpaceDE w:val="0"/>
        <w:autoSpaceDN w:val="0"/>
        <w:adjustRightInd w:val="0"/>
        <w:jc w:val="left"/>
        <w:rPr>
          <w:rFonts w:ascii="TimesNewRoman,Bold" w:hAnsi="TimesNewRoman,Bold" w:cs="TimesNewRoman,Bold"/>
          <w:b/>
          <w:bCs/>
          <w:sz w:val="24"/>
          <w:szCs w:val="24"/>
        </w:rPr>
      </w:pPr>
    </w:p>
    <w:p w:rsidR="00F24AF2" w:rsidRPr="00A83B39" w:rsidRDefault="00F24AF2" w:rsidP="00826E93">
      <w:pPr>
        <w:numPr>
          <w:ilvl w:val="1"/>
          <w:numId w:val="8"/>
        </w:numPr>
        <w:ind w:left="788" w:hanging="431"/>
        <w:outlineLvl w:val="2"/>
        <w:rPr>
          <w:sz w:val="28"/>
        </w:rPr>
      </w:pPr>
      <w:r w:rsidRPr="00A83B39">
        <w:rPr>
          <w:sz w:val="28"/>
        </w:rPr>
        <w:t xml:space="preserve"> </w:t>
      </w:r>
      <w:bookmarkStart w:id="10" w:name="_Toc351126731"/>
      <w:r w:rsidRPr="00A83B39">
        <w:rPr>
          <w:sz w:val="28"/>
        </w:rPr>
        <w:t>La relation coût - activité</w:t>
      </w:r>
      <w:bookmarkEnd w:id="10"/>
    </w:p>
    <w:p w:rsidR="00F24AF2" w:rsidRPr="00A83B39" w:rsidRDefault="00F24AF2" w:rsidP="00F24AF2">
      <w:pPr>
        <w:autoSpaceDE w:val="0"/>
        <w:autoSpaceDN w:val="0"/>
        <w:adjustRightInd w:val="0"/>
        <w:jc w:val="left"/>
        <w:rPr>
          <w:rFonts w:ascii="TimesNewRoman" w:hAnsi="TimesNewRoman" w:cs="TimesNewRoman"/>
          <w:sz w:val="24"/>
          <w:szCs w:val="24"/>
        </w:rPr>
      </w:pPr>
    </w:p>
    <w:p w:rsidR="00F24AF2" w:rsidRPr="00A83B39" w:rsidRDefault="00F24AF2"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Il est possible de modéliser le comportement des charges de l’entreprise en fonction du niveau d’activité. On a ainsi :</w:t>
      </w:r>
    </w:p>
    <w:p w:rsidR="00F24AF2" w:rsidRPr="00A83B39" w:rsidRDefault="00F24AF2" w:rsidP="00871107">
      <w:pPr>
        <w:autoSpaceDE w:val="0"/>
        <w:autoSpaceDN w:val="0"/>
        <w:adjustRightInd w:val="0"/>
        <w:rPr>
          <w:rFonts w:ascii="TimesNewRoman" w:hAnsi="TimesNewRoman" w:cs="TimesNewRoman"/>
          <w:b/>
          <w:sz w:val="24"/>
          <w:szCs w:val="24"/>
        </w:rPr>
      </w:pPr>
      <w:r w:rsidRPr="00A83B39">
        <w:rPr>
          <w:rFonts w:ascii="TimesNewRoman" w:hAnsi="TimesNewRoman" w:cs="TimesNewRoman"/>
          <w:b/>
          <w:sz w:val="24"/>
          <w:szCs w:val="24"/>
        </w:rPr>
        <w:t>Total des charges = CF + CV * x</w:t>
      </w:r>
    </w:p>
    <w:p w:rsidR="00F24AF2" w:rsidRPr="00A83B39" w:rsidRDefault="00F24AF2"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avec :</w:t>
      </w:r>
    </w:p>
    <w:p w:rsidR="00F24AF2" w:rsidRPr="00A83B39" w:rsidRDefault="00F24AF2"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CF : charges fixes</w:t>
      </w:r>
    </w:p>
    <w:p w:rsidR="00F24AF2" w:rsidRPr="00A83B39" w:rsidRDefault="00F24AF2"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CV : charges variables unitaires</w:t>
      </w:r>
    </w:p>
    <w:p w:rsidR="00F24AF2" w:rsidRPr="00A83B39" w:rsidRDefault="00F24AF2"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x : niveau d’activité</w:t>
      </w:r>
    </w:p>
    <w:p w:rsidR="00F24AF2" w:rsidRPr="00A83B39" w:rsidRDefault="00F24AF2"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lastRenderedPageBreak/>
        <w:t>Il est alors possible d’utiliser cette formule pour prévoir le résultat de l’entreprise dans plusieurs hypothèses de niveau d’activité.</w:t>
      </w:r>
    </w:p>
    <w:p w:rsidR="00F24AF2" w:rsidRPr="00A83B39" w:rsidRDefault="00F24AF2" w:rsidP="00871107">
      <w:pPr>
        <w:autoSpaceDE w:val="0"/>
        <w:autoSpaceDN w:val="0"/>
        <w:adjustRightInd w:val="0"/>
        <w:rPr>
          <w:sz w:val="28"/>
        </w:rPr>
      </w:pPr>
    </w:p>
    <w:p w:rsidR="00F24AF2" w:rsidRPr="00A83B39" w:rsidRDefault="00F24AF2"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xml:space="preserve">NB : </w:t>
      </w:r>
    </w:p>
    <w:p w:rsidR="00F24AF2" w:rsidRPr="00A83B39" w:rsidRDefault="00F24AF2"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Certaines charges comprennent une partie fixe et une partie variable (ex. le salaire des vendeurs peut comprendre une partie fixe et une commission variable) : on parle de charges « semi-variables ». Dans les calculs il faut les scinder en deux parties et rattacher la partie fixe aux charges fixes et la partie variable aux charges variables.</w:t>
      </w:r>
    </w:p>
    <w:p w:rsidR="00F24AF2" w:rsidRPr="00A83B39" w:rsidRDefault="00F24AF2" w:rsidP="00871107">
      <w:pPr>
        <w:autoSpaceDE w:val="0"/>
        <w:autoSpaceDN w:val="0"/>
        <w:adjustRightInd w:val="0"/>
        <w:rPr>
          <w:rFonts w:ascii="TimesNewRoman" w:hAnsi="TimesNewRoman" w:cs="TimesNewRoman"/>
          <w:sz w:val="24"/>
          <w:szCs w:val="24"/>
        </w:rPr>
      </w:pPr>
    </w:p>
    <w:p w:rsidR="00F24AF2" w:rsidRPr="00A83B39" w:rsidRDefault="00F24AF2"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Remarque :</w:t>
      </w:r>
    </w:p>
    <w:p w:rsidR="00F24AF2" w:rsidRPr="00A83B39" w:rsidRDefault="00ED08F7"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xml:space="preserve"> L</w:t>
      </w:r>
      <w:r w:rsidR="00F24AF2" w:rsidRPr="00A83B39">
        <w:rPr>
          <w:rFonts w:ascii="TimesNewRoman" w:hAnsi="TimesNewRoman" w:cs="TimesNewRoman"/>
          <w:sz w:val="24"/>
          <w:szCs w:val="24"/>
        </w:rPr>
        <w:t xml:space="preserve">e modèle exposé </w:t>
      </w:r>
      <w:proofErr w:type="spellStart"/>
      <w:r w:rsidR="00F24AF2" w:rsidRPr="00A83B39">
        <w:rPr>
          <w:rFonts w:ascii="TimesNewRoman" w:hAnsi="TimesNewRoman" w:cs="TimesNewRoman"/>
          <w:sz w:val="24"/>
          <w:szCs w:val="24"/>
        </w:rPr>
        <w:t>ci dessus</w:t>
      </w:r>
      <w:proofErr w:type="spellEnd"/>
      <w:r w:rsidR="00F24AF2" w:rsidRPr="00A83B39">
        <w:rPr>
          <w:rFonts w:ascii="TimesNewRoman" w:hAnsi="TimesNewRoman" w:cs="TimesNewRoman"/>
          <w:sz w:val="24"/>
          <w:szCs w:val="24"/>
        </w:rPr>
        <w:t xml:space="preserve"> repose sur des hypothèses fortement simplifiées. Dans la réalité les charges fixes évoluent par pallier et les charges variables ne sont pas toujours proportionnelles au volume d’activité.</w:t>
      </w:r>
    </w:p>
    <w:p w:rsidR="00987B06" w:rsidRPr="00A83B39" w:rsidRDefault="00987B06" w:rsidP="00F24AF2">
      <w:pPr>
        <w:autoSpaceDE w:val="0"/>
        <w:autoSpaceDN w:val="0"/>
        <w:adjustRightInd w:val="0"/>
        <w:jc w:val="left"/>
        <w:rPr>
          <w:rFonts w:ascii="TimesNewRoman" w:hAnsi="TimesNewRoman" w:cs="TimesNewRoman"/>
          <w:sz w:val="24"/>
          <w:szCs w:val="24"/>
        </w:rPr>
      </w:pPr>
    </w:p>
    <w:p w:rsidR="00DC2012" w:rsidRPr="00A83B39" w:rsidRDefault="00824278" w:rsidP="007C65F7">
      <w:pPr>
        <w:numPr>
          <w:ilvl w:val="1"/>
          <w:numId w:val="8"/>
        </w:numPr>
        <w:rPr>
          <w:sz w:val="28"/>
        </w:rPr>
      </w:pPr>
      <w:r w:rsidRPr="00A83B39">
        <w:rPr>
          <w:sz w:val="28"/>
        </w:rPr>
        <w:t xml:space="preserve"> </w:t>
      </w:r>
      <w:r w:rsidR="00DC2012" w:rsidRPr="00A83B39">
        <w:rPr>
          <w:sz w:val="28"/>
        </w:rPr>
        <w:t xml:space="preserve">Le calcul du seuil de rentabilité </w:t>
      </w:r>
    </w:p>
    <w:p w:rsidR="00DC2012" w:rsidRPr="00A83B39" w:rsidRDefault="00DC2012" w:rsidP="00F24AF2">
      <w:pPr>
        <w:autoSpaceDE w:val="0"/>
        <w:autoSpaceDN w:val="0"/>
        <w:adjustRightInd w:val="0"/>
        <w:jc w:val="left"/>
        <w:rPr>
          <w:rFonts w:ascii="TimesNewRoman" w:hAnsi="TimesNewRoman" w:cs="TimesNewRoman"/>
          <w:sz w:val="24"/>
          <w:szCs w:val="24"/>
        </w:rPr>
      </w:pPr>
    </w:p>
    <w:p w:rsidR="00DC2012" w:rsidRPr="00A83B39" w:rsidRDefault="00DC2012" w:rsidP="00871107">
      <w:pPr>
        <w:autoSpaceDE w:val="0"/>
        <w:autoSpaceDN w:val="0"/>
        <w:adjustRightInd w:val="0"/>
        <w:rPr>
          <w:sz w:val="24"/>
          <w:szCs w:val="24"/>
        </w:rPr>
      </w:pPr>
      <w:r w:rsidRPr="00A83B39">
        <w:rPr>
          <w:sz w:val="24"/>
          <w:szCs w:val="24"/>
        </w:rPr>
        <w:t xml:space="preserve">Nous </w:t>
      </w:r>
      <w:r w:rsidR="00643799" w:rsidRPr="00A83B39">
        <w:rPr>
          <w:sz w:val="24"/>
          <w:szCs w:val="24"/>
        </w:rPr>
        <w:t>définissons le seuil de rentabilité de la manière suivante</w:t>
      </w:r>
      <w:r w:rsidRPr="00A83B39">
        <w:rPr>
          <w:sz w:val="24"/>
          <w:szCs w:val="24"/>
        </w:rPr>
        <w:t xml:space="preserve"> :</w:t>
      </w:r>
    </w:p>
    <w:p w:rsidR="00643799" w:rsidRPr="00A83B39" w:rsidRDefault="00643799" w:rsidP="00871107">
      <w:pPr>
        <w:autoSpaceDE w:val="0"/>
        <w:autoSpaceDN w:val="0"/>
        <w:adjustRightInd w:val="0"/>
        <w:rPr>
          <w:sz w:val="24"/>
          <w:szCs w:val="24"/>
        </w:rPr>
      </w:pPr>
    </w:p>
    <w:p w:rsidR="00DC2012" w:rsidRPr="0004651B" w:rsidRDefault="00D70B17" w:rsidP="00871107">
      <w:pPr>
        <w:autoSpaceDE w:val="0"/>
        <w:autoSpaceDN w:val="0"/>
        <w:adjustRightInd w:val="0"/>
        <w:rPr>
          <w:sz w:val="24"/>
          <w:szCs w:val="24"/>
        </w:rPr>
      </w:pPr>
      <m:oMathPara>
        <m:oMath>
          <m:box>
            <m:boxPr>
              <m:opEmu m:val="1"/>
              <m:ctrlPr>
                <w:rPr>
                  <w:rFonts w:ascii="Cambria Math" w:hAnsi="Cambria Math"/>
                  <w:i/>
                  <w:sz w:val="24"/>
                  <w:szCs w:val="24"/>
                </w:rPr>
              </m:ctrlPr>
            </m:boxPr>
            <m:e>
              <m:r>
                <w:rPr>
                  <w:rFonts w:ascii="Cambria Math"/>
                  <w:sz w:val="24"/>
                  <w:szCs w:val="24"/>
                </w:rPr>
                <m:t xml:space="preserve"> </m:t>
              </m:r>
              <m:r>
                <w:rPr>
                  <w:rFonts w:ascii="Cambria Math" w:hAnsi="Cambria Math"/>
                  <w:sz w:val="24"/>
                  <w:szCs w:val="24"/>
                </w:rPr>
                <m:t>Seuil</m:t>
              </m:r>
              <m:r>
                <w:rPr>
                  <w:rFonts w:ascii="Cambria Math"/>
                  <w:sz w:val="24"/>
                  <w:szCs w:val="24"/>
                </w:rPr>
                <m:t xml:space="preserve"> </m:t>
              </m:r>
              <m:r>
                <w:rPr>
                  <w:rFonts w:ascii="Cambria Math" w:hAnsi="Cambria Math"/>
                  <w:sz w:val="24"/>
                  <w:szCs w:val="24"/>
                </w:rPr>
                <m:t>de</m:t>
              </m:r>
              <m:r>
                <w:rPr>
                  <w:rFonts w:ascii="Cambria Math"/>
                  <w:sz w:val="24"/>
                  <w:szCs w:val="24"/>
                </w:rPr>
                <m:t xml:space="preserve"> </m:t>
              </m:r>
              <m:r>
                <w:rPr>
                  <w:rFonts w:ascii="Cambria Math" w:hAnsi="Cambria Math"/>
                  <w:sz w:val="24"/>
                  <w:szCs w:val="24"/>
                </w:rPr>
                <m:t>rentabilit</m:t>
              </m:r>
              <m:r>
                <w:rPr>
                  <w:rFonts w:ascii="Cambria Math"/>
                  <w:sz w:val="24"/>
                  <w:szCs w:val="24"/>
                </w:rPr>
                <m:t>é</m:t>
              </m:r>
              <m:r>
                <w:rPr>
                  <w:rFonts w:ascii="Cambria Math"/>
                  <w:sz w:val="24"/>
                  <w:szCs w:val="24"/>
                </w:rPr>
                <m:t>=</m:t>
              </m:r>
            </m:e>
          </m:box>
          <m:f>
            <m:fPr>
              <m:ctrlPr>
                <w:rPr>
                  <w:rFonts w:ascii="Cambria Math" w:hAnsi="Cambria Math"/>
                  <w:i/>
                  <w:sz w:val="24"/>
                  <w:szCs w:val="24"/>
                </w:rPr>
              </m:ctrlPr>
            </m:fPr>
            <m:num>
              <m:r>
                <w:rPr>
                  <w:rFonts w:ascii="Cambria Math" w:hAnsi="Cambria Math"/>
                  <w:sz w:val="24"/>
                  <w:szCs w:val="24"/>
                </w:rPr>
                <m:t>co</m:t>
              </m:r>
              <m:r>
                <w:rPr>
                  <w:rFonts w:ascii="Cambria Math"/>
                  <w:sz w:val="24"/>
                  <w:szCs w:val="24"/>
                </w:rPr>
                <m:t>û</m:t>
              </m:r>
              <m:r>
                <w:rPr>
                  <w:rFonts w:ascii="Cambria Math" w:hAnsi="Cambria Math"/>
                  <w:sz w:val="24"/>
                  <w:szCs w:val="24"/>
                </w:rPr>
                <m:t>t</m:t>
              </m:r>
              <m:r>
                <w:rPr>
                  <w:rFonts w:ascii="Cambria Math"/>
                  <w:sz w:val="24"/>
                  <w:szCs w:val="24"/>
                </w:rPr>
                <m:t xml:space="preserve"> </m:t>
              </m:r>
              <m:r>
                <w:rPr>
                  <w:rFonts w:ascii="Cambria Math" w:hAnsi="Cambria Math"/>
                  <w:sz w:val="24"/>
                  <w:szCs w:val="24"/>
                </w:rPr>
                <m:t>fixe</m:t>
              </m:r>
            </m:num>
            <m:den>
              <m:r>
                <w:rPr>
                  <w:rFonts w:ascii="Cambria Math" w:hAnsi="Cambria Math"/>
                  <w:sz w:val="24"/>
                  <w:szCs w:val="24"/>
                </w:rPr>
                <m:t>marge</m:t>
              </m:r>
              <m:r>
                <w:rPr>
                  <w:rFonts w:ascii="Cambria Math"/>
                  <w:sz w:val="24"/>
                  <w:szCs w:val="24"/>
                </w:rPr>
                <m:t xml:space="preserve"> </m:t>
              </m:r>
              <m:r>
                <w:rPr>
                  <w:rFonts w:ascii="Cambria Math" w:hAnsi="Cambria Math"/>
                  <w:sz w:val="24"/>
                  <w:szCs w:val="24"/>
                </w:rPr>
                <m:t>sur</m:t>
              </m:r>
              <m:r>
                <w:rPr>
                  <w:rFonts w:ascii="Cambria Math"/>
                  <w:sz w:val="24"/>
                  <w:szCs w:val="24"/>
                </w:rPr>
                <m:t xml:space="preserve"> </m:t>
              </m:r>
              <m:r>
                <w:rPr>
                  <w:rFonts w:ascii="Cambria Math" w:hAnsi="Cambria Math"/>
                  <w:sz w:val="24"/>
                  <w:szCs w:val="24"/>
                </w:rPr>
                <m:t>co</m:t>
              </m:r>
              <m:r>
                <w:rPr>
                  <w:rFonts w:ascii="Cambria Math"/>
                  <w:sz w:val="24"/>
                  <w:szCs w:val="24"/>
                </w:rPr>
                <m:t>û</m:t>
              </m:r>
              <m:r>
                <w:rPr>
                  <w:rFonts w:ascii="Cambria Math" w:hAnsi="Cambria Math"/>
                  <w:sz w:val="24"/>
                  <w:szCs w:val="24"/>
                </w:rPr>
                <m:t>t</m:t>
              </m:r>
              <m:r>
                <w:rPr>
                  <w:rFonts w:ascii="Cambria Math"/>
                  <w:sz w:val="24"/>
                  <w:szCs w:val="24"/>
                </w:rPr>
                <m:t xml:space="preserve"> </m:t>
              </m:r>
              <m:r>
                <w:rPr>
                  <w:rFonts w:ascii="Cambria Math" w:hAnsi="Cambria Math"/>
                  <w:sz w:val="24"/>
                  <w:szCs w:val="24"/>
                </w:rPr>
                <m:t>variables</m:t>
              </m:r>
            </m:den>
          </m:f>
        </m:oMath>
      </m:oMathPara>
    </w:p>
    <w:p w:rsidR="00DC2012" w:rsidRPr="00A83B39" w:rsidRDefault="00DC2012" w:rsidP="00871107">
      <w:pPr>
        <w:autoSpaceDE w:val="0"/>
        <w:autoSpaceDN w:val="0"/>
        <w:adjustRightInd w:val="0"/>
        <w:rPr>
          <w:sz w:val="24"/>
          <w:szCs w:val="24"/>
        </w:rPr>
      </w:pPr>
    </w:p>
    <w:p w:rsidR="00987B06" w:rsidRPr="00A83B39" w:rsidRDefault="00DC2012" w:rsidP="00871107">
      <w:pPr>
        <w:autoSpaceDE w:val="0"/>
        <w:autoSpaceDN w:val="0"/>
        <w:adjustRightInd w:val="0"/>
        <w:rPr>
          <w:sz w:val="24"/>
          <w:szCs w:val="24"/>
        </w:rPr>
      </w:pPr>
      <w:r w:rsidRPr="00A83B39">
        <w:rPr>
          <w:sz w:val="24"/>
          <w:szCs w:val="24"/>
        </w:rPr>
        <w:t>Illustration</w:t>
      </w:r>
      <w:r w:rsidR="00987B06" w:rsidRPr="00A83B39">
        <w:rPr>
          <w:sz w:val="24"/>
          <w:szCs w:val="24"/>
        </w:rPr>
        <w:t xml:space="preserve"> :</w:t>
      </w:r>
    </w:p>
    <w:p w:rsidR="00643799" w:rsidRPr="00A83B39" w:rsidRDefault="00643799" w:rsidP="00871107">
      <w:pPr>
        <w:autoSpaceDE w:val="0"/>
        <w:autoSpaceDN w:val="0"/>
        <w:adjustRightInd w:val="0"/>
        <w:rPr>
          <w:sz w:val="24"/>
          <w:szCs w:val="24"/>
        </w:rPr>
      </w:pPr>
    </w:p>
    <w:p w:rsidR="00987B06" w:rsidRPr="00A83B39" w:rsidRDefault="00987B06" w:rsidP="00871107">
      <w:pPr>
        <w:autoSpaceDE w:val="0"/>
        <w:autoSpaceDN w:val="0"/>
        <w:adjustRightInd w:val="0"/>
        <w:rPr>
          <w:sz w:val="24"/>
          <w:szCs w:val="24"/>
        </w:rPr>
      </w:pPr>
      <w:r w:rsidRPr="00A83B39">
        <w:rPr>
          <w:sz w:val="24"/>
          <w:szCs w:val="24"/>
        </w:rPr>
        <w:t xml:space="preserve">- la prime unique pour un contrat d'assurance </w:t>
      </w:r>
      <w:r w:rsidR="0092032E" w:rsidRPr="00A83B39">
        <w:rPr>
          <w:sz w:val="24"/>
          <w:szCs w:val="24"/>
        </w:rPr>
        <w:t>complémentaire santé</w:t>
      </w:r>
      <w:r w:rsidRPr="00A83B39">
        <w:rPr>
          <w:sz w:val="24"/>
          <w:szCs w:val="24"/>
        </w:rPr>
        <w:t xml:space="preserve"> est de 350 € par personne.</w:t>
      </w:r>
    </w:p>
    <w:p w:rsidR="00987B06" w:rsidRPr="00A83B39" w:rsidRDefault="00411E89" w:rsidP="00871107">
      <w:pPr>
        <w:autoSpaceDE w:val="0"/>
        <w:autoSpaceDN w:val="0"/>
        <w:adjustRightInd w:val="0"/>
        <w:rPr>
          <w:sz w:val="24"/>
          <w:szCs w:val="24"/>
        </w:rPr>
      </w:pPr>
      <w:r w:rsidRPr="00A83B39">
        <w:rPr>
          <w:sz w:val="24"/>
          <w:szCs w:val="24"/>
        </w:rPr>
        <w:t>- les coûts fixes sont de 2M</w:t>
      </w:r>
      <w:r w:rsidR="00987B06" w:rsidRPr="00A83B39">
        <w:rPr>
          <w:sz w:val="24"/>
          <w:szCs w:val="24"/>
        </w:rPr>
        <w:t>€ (loyer du siège social, sponsoring d'un club de foot</w:t>
      </w:r>
      <w:r w:rsidRPr="00A83B39">
        <w:rPr>
          <w:sz w:val="24"/>
          <w:szCs w:val="24"/>
        </w:rPr>
        <w:t xml:space="preserve"> + part fixe de la rémunération des commerciaux </w:t>
      </w:r>
      <w:r w:rsidR="00987B06" w:rsidRPr="00A83B39">
        <w:rPr>
          <w:sz w:val="24"/>
          <w:szCs w:val="24"/>
        </w:rPr>
        <w:t>...)</w:t>
      </w:r>
      <w:r w:rsidR="0092032E" w:rsidRPr="00A83B39">
        <w:rPr>
          <w:sz w:val="24"/>
          <w:szCs w:val="24"/>
        </w:rPr>
        <w:t>.</w:t>
      </w:r>
    </w:p>
    <w:p w:rsidR="00987B06" w:rsidRPr="00A83B39" w:rsidRDefault="00987B06" w:rsidP="00871107">
      <w:pPr>
        <w:autoSpaceDE w:val="0"/>
        <w:autoSpaceDN w:val="0"/>
        <w:adjustRightInd w:val="0"/>
        <w:rPr>
          <w:sz w:val="24"/>
          <w:szCs w:val="24"/>
        </w:rPr>
      </w:pPr>
      <w:r w:rsidRPr="00A83B39">
        <w:rPr>
          <w:sz w:val="24"/>
          <w:szCs w:val="24"/>
        </w:rPr>
        <w:t xml:space="preserve">- les coûts variables sont </w:t>
      </w:r>
      <w:r w:rsidR="00411E89" w:rsidRPr="00A83B39">
        <w:rPr>
          <w:sz w:val="24"/>
          <w:szCs w:val="24"/>
        </w:rPr>
        <w:t xml:space="preserve">en moyenne </w:t>
      </w:r>
      <w:r w:rsidRPr="00A83B39">
        <w:rPr>
          <w:sz w:val="24"/>
          <w:szCs w:val="24"/>
        </w:rPr>
        <w:t>de 210 € par p</w:t>
      </w:r>
      <w:r w:rsidR="00411E89" w:rsidRPr="00A83B39">
        <w:rPr>
          <w:sz w:val="24"/>
          <w:szCs w:val="24"/>
        </w:rPr>
        <w:t>ersonne</w:t>
      </w:r>
      <w:r w:rsidRPr="00A83B39">
        <w:rPr>
          <w:sz w:val="24"/>
          <w:szCs w:val="24"/>
        </w:rPr>
        <w:t xml:space="preserve"> (</w:t>
      </w:r>
      <w:r w:rsidR="00411E89" w:rsidRPr="00A83B39">
        <w:rPr>
          <w:sz w:val="24"/>
          <w:szCs w:val="24"/>
        </w:rPr>
        <w:t>sinistres + provisionnement + part variable de la rémunération des commerciaux...</w:t>
      </w:r>
      <w:r w:rsidRPr="00A83B39">
        <w:rPr>
          <w:sz w:val="24"/>
          <w:szCs w:val="24"/>
        </w:rPr>
        <w:t>)</w:t>
      </w:r>
    </w:p>
    <w:p w:rsidR="00411E89" w:rsidRPr="00A83B39" w:rsidRDefault="00411E89" w:rsidP="00871107">
      <w:pPr>
        <w:autoSpaceDE w:val="0"/>
        <w:autoSpaceDN w:val="0"/>
        <w:adjustRightInd w:val="0"/>
        <w:rPr>
          <w:sz w:val="24"/>
          <w:szCs w:val="24"/>
        </w:rPr>
      </w:pPr>
    </w:p>
    <w:p w:rsidR="00411E89" w:rsidRPr="00A83B39" w:rsidRDefault="00411E89" w:rsidP="00871107">
      <w:pPr>
        <w:autoSpaceDE w:val="0"/>
        <w:autoSpaceDN w:val="0"/>
        <w:adjustRightInd w:val="0"/>
        <w:rPr>
          <w:sz w:val="24"/>
          <w:szCs w:val="24"/>
        </w:rPr>
      </w:pPr>
      <w:r w:rsidRPr="00A83B39">
        <w:rPr>
          <w:sz w:val="24"/>
          <w:szCs w:val="24"/>
        </w:rPr>
        <w:t>Pour que le contrat soit rentable,</w:t>
      </w:r>
      <w:r w:rsidR="00DC2012" w:rsidRPr="00A83B39">
        <w:rPr>
          <w:sz w:val="24"/>
          <w:szCs w:val="24"/>
        </w:rPr>
        <w:t xml:space="preserve"> en désignant par x le nombre d'assuré</w:t>
      </w:r>
      <w:r w:rsidR="0092032E" w:rsidRPr="00A83B39">
        <w:rPr>
          <w:sz w:val="24"/>
          <w:szCs w:val="24"/>
        </w:rPr>
        <w:t>s</w:t>
      </w:r>
      <w:r w:rsidR="00DC2012" w:rsidRPr="00A83B39">
        <w:rPr>
          <w:sz w:val="24"/>
          <w:szCs w:val="24"/>
        </w:rPr>
        <w:t xml:space="preserve">, </w:t>
      </w:r>
      <w:r w:rsidRPr="00A83B39">
        <w:rPr>
          <w:sz w:val="24"/>
          <w:szCs w:val="24"/>
        </w:rPr>
        <w:t xml:space="preserve"> il </w:t>
      </w:r>
      <w:r w:rsidR="00ED08F7" w:rsidRPr="00A83B39">
        <w:rPr>
          <w:sz w:val="24"/>
          <w:szCs w:val="24"/>
        </w:rPr>
        <w:t>faut :</w:t>
      </w:r>
    </w:p>
    <w:p w:rsidR="00DC2012" w:rsidRPr="00A83B39" w:rsidRDefault="00DC2012" w:rsidP="00871107">
      <w:pPr>
        <w:autoSpaceDE w:val="0"/>
        <w:autoSpaceDN w:val="0"/>
        <w:adjustRightInd w:val="0"/>
        <w:rPr>
          <w:sz w:val="24"/>
          <w:szCs w:val="24"/>
        </w:rPr>
      </w:pPr>
    </w:p>
    <w:p w:rsidR="0092032E" w:rsidRPr="0004651B" w:rsidRDefault="0004651B" w:rsidP="00871107">
      <w:pPr>
        <w:autoSpaceDE w:val="0"/>
        <w:autoSpaceDN w:val="0"/>
        <w:adjustRightInd w:val="0"/>
        <w:rPr>
          <w:sz w:val="24"/>
          <w:szCs w:val="24"/>
        </w:rPr>
      </w:pPr>
      <m:oMathPara>
        <m:oMath>
          <m:r>
            <w:rPr>
              <w:rFonts w:ascii="Cambria Math"/>
              <w:sz w:val="24"/>
              <w:szCs w:val="24"/>
            </w:rPr>
            <m:t>210</m:t>
          </m:r>
          <m:r>
            <w:rPr>
              <w:rFonts w:ascii="Cambria Math" w:hAnsi="Cambria Math"/>
              <w:sz w:val="24"/>
              <w:szCs w:val="24"/>
            </w:rPr>
            <m:t>x</m:t>
          </m:r>
          <m:r>
            <w:rPr>
              <w:rFonts w:ascii="Cambria Math"/>
              <w:sz w:val="24"/>
              <w:szCs w:val="24"/>
            </w:rPr>
            <m:t xml:space="preserve"> + 2 000 000 </m:t>
          </m:r>
          <m:r>
            <w:rPr>
              <w:rFonts w:ascii="Cambria Math"/>
              <w:sz w:val="24"/>
              <w:szCs w:val="24"/>
            </w:rPr>
            <m:t>≤</m:t>
          </m:r>
          <m:r>
            <w:rPr>
              <w:rFonts w:ascii="Cambria Math"/>
              <w:sz w:val="24"/>
              <w:szCs w:val="24"/>
            </w:rPr>
            <m:t xml:space="preserve"> 350</m:t>
          </m:r>
          <m:r>
            <w:rPr>
              <w:rFonts w:ascii="Cambria Math" w:hAnsi="Cambria Math"/>
              <w:sz w:val="24"/>
              <w:szCs w:val="24"/>
            </w:rPr>
            <m:t>x</m:t>
          </m:r>
        </m:oMath>
      </m:oMathPara>
    </w:p>
    <w:p w:rsidR="0092032E" w:rsidRPr="0004651B" w:rsidRDefault="00AC3C1F" w:rsidP="00871107">
      <w:pPr>
        <w:autoSpaceDE w:val="0"/>
        <w:autoSpaceDN w:val="0"/>
        <w:adjustRightInd w:val="0"/>
        <w:rPr>
          <w:sz w:val="24"/>
          <w:szCs w:val="24"/>
        </w:rPr>
      </w:pPr>
      <w:r w:rsidRPr="00A83B39">
        <w:rPr>
          <w:sz w:val="24"/>
          <w:szCs w:val="24"/>
        </w:rPr>
        <w:br/>
      </w: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r>
            <w:rPr>
              <w:rFonts w:ascii="Cambria Math"/>
              <w:sz w:val="24"/>
              <w:szCs w:val="24"/>
            </w:rPr>
            <m:t>2 000 000</m:t>
          </m:r>
          <m:r>
            <w:rPr>
              <w:rFonts w:ascii="Cambria Math"/>
              <w:sz w:val="24"/>
              <w:szCs w:val="24"/>
            </w:rPr>
            <m:t>≤</m:t>
          </m:r>
          <m:r>
            <w:rPr>
              <w:rFonts w:ascii="Cambria Math"/>
              <w:sz w:val="24"/>
              <w:szCs w:val="24"/>
            </w:rPr>
            <m:t>(350</m:t>
          </m:r>
          <m:r>
            <w:rPr>
              <w:rFonts w:ascii="Cambria Math"/>
              <w:sz w:val="24"/>
              <w:szCs w:val="24"/>
            </w:rPr>
            <m:t>-</m:t>
          </m:r>
          <m:r>
            <w:rPr>
              <w:rFonts w:ascii="Cambria Math"/>
              <w:sz w:val="24"/>
              <w:szCs w:val="24"/>
            </w:rPr>
            <m:t>210)</m:t>
          </m:r>
          <m:r>
            <w:rPr>
              <w:rFonts w:ascii="Cambria Math" w:hAnsi="Cambria Math"/>
              <w:sz w:val="24"/>
              <w:szCs w:val="24"/>
            </w:rPr>
            <m:t>x</m:t>
          </m:r>
        </m:oMath>
      </m:oMathPara>
    </w:p>
    <w:p w:rsidR="0092032E" w:rsidRPr="0004651B" w:rsidRDefault="00DC2012" w:rsidP="00871107">
      <w:pPr>
        <w:autoSpaceDE w:val="0"/>
        <w:autoSpaceDN w:val="0"/>
        <w:adjustRightInd w:val="0"/>
        <w:rPr>
          <w:sz w:val="24"/>
          <w:szCs w:val="24"/>
        </w:rPr>
      </w:pPr>
      <w:r w:rsidRPr="00A83B39">
        <w:rPr>
          <w:rFonts w:ascii="Cambria Math" w:hAnsi="Cambria Math" w:cs="TimesNewRoman"/>
          <w:sz w:val="24"/>
          <w:szCs w:val="24"/>
        </w:rPr>
        <w:br/>
      </w: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f>
            <m:fPr>
              <m:ctrlPr>
                <w:rPr>
                  <w:rFonts w:ascii="Cambria Math" w:hAnsi="Cambria Math"/>
                  <w:i/>
                  <w:sz w:val="24"/>
                  <w:szCs w:val="24"/>
                </w:rPr>
              </m:ctrlPr>
            </m:fPr>
            <m:num>
              <m:limUpp>
                <m:limUppPr>
                  <m:ctrlPr>
                    <w:rPr>
                      <w:rFonts w:ascii="Cambria Math" w:hAnsi="Cambria Math"/>
                      <w:i/>
                      <w:sz w:val="24"/>
                      <w:szCs w:val="24"/>
                    </w:rPr>
                  </m:ctrlPr>
                </m:limUppPr>
                <m:e>
                  <m:groupChr>
                    <m:groupChrPr>
                      <m:chr m:val="⏞"/>
                      <m:pos m:val="top"/>
                      <m:vertJc m:val="bot"/>
                      <m:ctrlPr>
                        <w:rPr>
                          <w:rFonts w:ascii="Cambria Math" w:hAnsi="Cambria Math"/>
                          <w:i/>
                          <w:sz w:val="24"/>
                          <w:szCs w:val="24"/>
                        </w:rPr>
                      </m:ctrlPr>
                    </m:groupChrPr>
                    <m:e>
                      <m:r>
                        <w:rPr>
                          <w:rFonts w:ascii="Cambria Math"/>
                          <w:sz w:val="24"/>
                          <w:szCs w:val="24"/>
                        </w:rPr>
                        <m:t>2 000 000</m:t>
                      </m:r>
                    </m:e>
                  </m:groupChr>
                </m:e>
                <m:lim>
                  <m:r>
                    <w:rPr>
                      <w:rFonts w:ascii="Cambria Math" w:hAnsi="Cambria Math"/>
                      <w:sz w:val="24"/>
                      <w:szCs w:val="24"/>
                    </w:rPr>
                    <m:t>co</m:t>
                  </m:r>
                  <m:r>
                    <w:rPr>
                      <w:rFonts w:ascii="Cambria Math"/>
                      <w:sz w:val="24"/>
                      <w:szCs w:val="24"/>
                    </w:rPr>
                    <m:t>û</m:t>
                  </m:r>
                  <m:r>
                    <w:rPr>
                      <w:rFonts w:ascii="Cambria Math" w:hAnsi="Cambria Math"/>
                      <w:sz w:val="24"/>
                      <w:szCs w:val="24"/>
                    </w:rPr>
                    <m:t>ts</m:t>
                  </m:r>
                  <m:r>
                    <w:rPr>
                      <w:rFonts w:ascii="Cambria Math"/>
                      <w:sz w:val="24"/>
                      <w:szCs w:val="24"/>
                    </w:rPr>
                    <m:t xml:space="preserve"> </m:t>
                  </m:r>
                  <m:r>
                    <w:rPr>
                      <w:rFonts w:ascii="Cambria Math" w:hAnsi="Cambria Math"/>
                      <w:sz w:val="24"/>
                      <w:szCs w:val="24"/>
                    </w:rPr>
                    <m:t>fixes</m:t>
                  </m:r>
                </m:lim>
              </m:limUpp>
            </m:num>
            <m:den>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sz w:val="24"/>
                          <w:szCs w:val="24"/>
                        </w:rPr>
                        <m:t>350</m:t>
                      </m:r>
                      <m:r>
                        <w:rPr>
                          <w:rFonts w:ascii="Cambria Math"/>
                          <w:sz w:val="24"/>
                          <w:szCs w:val="24"/>
                        </w:rPr>
                        <m:t>-</m:t>
                      </m:r>
                      <m:r>
                        <w:rPr>
                          <w:rFonts w:ascii="Cambria Math"/>
                          <w:sz w:val="24"/>
                          <w:szCs w:val="24"/>
                        </w:rPr>
                        <m:t>210</m:t>
                      </m:r>
                    </m:e>
                  </m:groupChr>
                </m:e>
                <m:lim>
                  <m:r>
                    <w:rPr>
                      <w:rFonts w:ascii="Cambria Math" w:hAnsi="Cambria Math"/>
                      <w:sz w:val="24"/>
                      <w:szCs w:val="24"/>
                    </w:rPr>
                    <m:t>marge</m:t>
                  </m:r>
                  <m:r>
                    <w:rPr>
                      <w:rFonts w:ascii="Cambria Math"/>
                      <w:sz w:val="24"/>
                      <w:szCs w:val="24"/>
                    </w:rPr>
                    <m:t xml:space="preserve"> </m:t>
                  </m:r>
                  <m:r>
                    <w:rPr>
                      <w:rFonts w:ascii="Cambria Math" w:hAnsi="Cambria Math"/>
                      <w:sz w:val="24"/>
                      <w:szCs w:val="24"/>
                    </w:rPr>
                    <m:t>sur</m:t>
                  </m:r>
                  <m:r>
                    <w:rPr>
                      <w:rFonts w:ascii="Cambria Math"/>
                      <w:sz w:val="24"/>
                      <w:szCs w:val="24"/>
                    </w:rPr>
                    <m:t xml:space="preserve"> </m:t>
                  </m:r>
                  <m:r>
                    <w:rPr>
                      <w:rFonts w:ascii="Cambria Math" w:hAnsi="Cambria Math"/>
                      <w:sz w:val="24"/>
                      <w:szCs w:val="24"/>
                    </w:rPr>
                    <m:t>co</m:t>
                  </m:r>
                  <m:r>
                    <w:rPr>
                      <w:rFonts w:ascii="Cambria Math"/>
                      <w:sz w:val="24"/>
                      <w:szCs w:val="24"/>
                    </w:rPr>
                    <m:t>û</m:t>
                  </m:r>
                  <m:r>
                    <w:rPr>
                      <w:rFonts w:ascii="Cambria Math" w:hAnsi="Cambria Math"/>
                      <w:sz w:val="24"/>
                      <w:szCs w:val="24"/>
                    </w:rPr>
                    <m:t>ts</m:t>
                  </m:r>
                  <m:r>
                    <w:rPr>
                      <w:rFonts w:ascii="Cambria Math"/>
                      <w:sz w:val="24"/>
                      <w:szCs w:val="24"/>
                    </w:rPr>
                    <m:t xml:space="preserve"> </m:t>
                  </m:r>
                  <m:r>
                    <w:rPr>
                      <w:rFonts w:ascii="Cambria Math" w:hAnsi="Cambria Math"/>
                      <w:sz w:val="24"/>
                      <w:szCs w:val="24"/>
                    </w:rPr>
                    <m:t>variables</m:t>
                  </m:r>
                </m:lim>
              </m:limLow>
            </m:den>
          </m:f>
          <m:r>
            <w:rPr>
              <w:rFonts w:ascii="Cambria Math"/>
              <w:sz w:val="24"/>
              <w:szCs w:val="24"/>
            </w:rPr>
            <m:t>≤</m:t>
          </m:r>
          <m:limUpp>
            <m:limUppPr>
              <m:ctrlPr>
                <w:rPr>
                  <w:rFonts w:ascii="Cambria Math" w:hAnsi="Cambria Math"/>
                  <w:i/>
                  <w:sz w:val="24"/>
                  <w:szCs w:val="24"/>
                </w:rPr>
              </m:ctrlPr>
            </m:limUppPr>
            <m:e>
              <m:groupChr>
                <m:groupChrPr>
                  <m:chr m:val="⏞"/>
                  <m:pos m:val="top"/>
                  <m:vertJc m:val="bot"/>
                  <m:ctrlPr>
                    <w:rPr>
                      <w:rFonts w:ascii="Cambria Math" w:hAnsi="Cambria Math"/>
                      <w:i/>
                      <w:sz w:val="24"/>
                      <w:szCs w:val="24"/>
                    </w:rPr>
                  </m:ctrlPr>
                </m:groupChrPr>
                <m:e>
                  <m:r>
                    <w:rPr>
                      <w:rFonts w:ascii="Cambria Math" w:hAnsi="Cambria Math"/>
                      <w:sz w:val="24"/>
                      <w:szCs w:val="24"/>
                    </w:rPr>
                    <m:t>x</m:t>
                  </m:r>
                </m:e>
              </m:groupChr>
            </m:e>
            <m:lim>
              <m:r>
                <w:rPr>
                  <w:rFonts w:ascii="Cambria Math" w:hAnsi="Cambria Math"/>
                  <w:sz w:val="24"/>
                  <w:szCs w:val="24"/>
                </w:rPr>
                <m:t>seuil</m:t>
              </m:r>
              <m:r>
                <w:rPr>
                  <w:rFonts w:ascii="Cambria Math"/>
                  <w:sz w:val="24"/>
                  <w:szCs w:val="24"/>
                </w:rPr>
                <m:t xml:space="preserve"> </m:t>
              </m:r>
              <m:r>
                <w:rPr>
                  <w:rFonts w:ascii="Cambria Math" w:hAnsi="Cambria Math"/>
                  <w:sz w:val="24"/>
                  <w:szCs w:val="24"/>
                </w:rPr>
                <m:t>de</m:t>
              </m:r>
              <m:r>
                <w:rPr>
                  <w:rFonts w:ascii="Cambria Math"/>
                  <w:sz w:val="24"/>
                  <w:szCs w:val="24"/>
                </w:rPr>
                <m:t xml:space="preserve"> </m:t>
              </m:r>
              <m:r>
                <w:rPr>
                  <w:rFonts w:ascii="Cambria Math" w:hAnsi="Cambria Math"/>
                  <w:sz w:val="24"/>
                  <w:szCs w:val="24"/>
                </w:rPr>
                <m:t>rentabilit</m:t>
              </m:r>
              <m:r>
                <w:rPr>
                  <w:rFonts w:ascii="Cambria Math"/>
                  <w:sz w:val="24"/>
                  <w:szCs w:val="24"/>
                </w:rPr>
                <m:t>é</m:t>
              </m:r>
            </m:lim>
          </m:limUpp>
        </m:oMath>
      </m:oMathPara>
    </w:p>
    <w:p w:rsidR="00824278" w:rsidRPr="00A83B39" w:rsidRDefault="00824278" w:rsidP="00871107">
      <w:pPr>
        <w:autoSpaceDE w:val="0"/>
        <w:autoSpaceDN w:val="0"/>
        <w:adjustRightInd w:val="0"/>
        <w:rPr>
          <w:sz w:val="24"/>
          <w:szCs w:val="24"/>
        </w:rPr>
      </w:pPr>
    </w:p>
    <w:p w:rsidR="001C70BD" w:rsidRPr="00A83B39" w:rsidRDefault="0092032E" w:rsidP="00871107">
      <w:pPr>
        <w:autoSpaceDE w:val="0"/>
        <w:autoSpaceDN w:val="0"/>
        <w:adjustRightInd w:val="0"/>
        <w:rPr>
          <w:sz w:val="24"/>
          <w:szCs w:val="24"/>
        </w:rPr>
      </w:pPr>
      <w:r w:rsidRPr="00A83B39">
        <w:rPr>
          <w:sz w:val="24"/>
          <w:szCs w:val="24"/>
        </w:rPr>
        <w:t>On retrouve la formule exprimée plus haut et on obtient un seuil de rentabilité de 14 245,71</w:t>
      </w:r>
      <w:r w:rsidR="00643799" w:rsidRPr="00A83B39">
        <w:rPr>
          <w:sz w:val="24"/>
          <w:szCs w:val="24"/>
        </w:rPr>
        <w:t xml:space="preserve"> : l</w:t>
      </w:r>
      <w:r w:rsidRPr="00A83B39">
        <w:rPr>
          <w:sz w:val="24"/>
          <w:szCs w:val="24"/>
        </w:rPr>
        <w:t>e contrat d'assura</w:t>
      </w:r>
      <w:r w:rsidR="00643799" w:rsidRPr="00A83B39">
        <w:rPr>
          <w:sz w:val="24"/>
          <w:szCs w:val="24"/>
        </w:rPr>
        <w:t>nce devient rentable à partir de</w:t>
      </w:r>
      <w:r w:rsidRPr="00A83B39">
        <w:rPr>
          <w:sz w:val="24"/>
          <w:szCs w:val="24"/>
        </w:rPr>
        <w:t xml:space="preserve"> 14 246 assuré</w:t>
      </w:r>
      <w:r w:rsidR="00643799" w:rsidRPr="00A83B39">
        <w:rPr>
          <w:sz w:val="24"/>
          <w:szCs w:val="24"/>
        </w:rPr>
        <w:t>s</w:t>
      </w:r>
      <w:r w:rsidRPr="00A83B39">
        <w:rPr>
          <w:sz w:val="24"/>
          <w:szCs w:val="24"/>
        </w:rPr>
        <w:t>.</w:t>
      </w:r>
    </w:p>
    <w:p w:rsidR="00643799" w:rsidRPr="00A83B39" w:rsidRDefault="00643799" w:rsidP="00871107">
      <w:pPr>
        <w:autoSpaceDE w:val="0"/>
        <w:autoSpaceDN w:val="0"/>
        <w:adjustRightInd w:val="0"/>
        <w:rPr>
          <w:sz w:val="24"/>
          <w:szCs w:val="24"/>
        </w:rPr>
      </w:pPr>
    </w:p>
    <w:p w:rsidR="00652E64" w:rsidRPr="00A83B39" w:rsidRDefault="00824278" w:rsidP="00871107">
      <w:pPr>
        <w:numPr>
          <w:ilvl w:val="1"/>
          <w:numId w:val="8"/>
        </w:numPr>
        <w:ind w:left="788" w:hanging="431"/>
        <w:outlineLvl w:val="2"/>
        <w:rPr>
          <w:sz w:val="28"/>
        </w:rPr>
      </w:pPr>
      <w:r w:rsidRPr="00A83B39">
        <w:rPr>
          <w:sz w:val="28"/>
        </w:rPr>
        <w:t xml:space="preserve"> </w:t>
      </w:r>
      <w:bookmarkStart w:id="11" w:name="_Toc351126732"/>
      <w:r w:rsidRPr="00A83B39">
        <w:rPr>
          <w:sz w:val="28"/>
        </w:rPr>
        <w:t>L'analyse du portefeuille de produits</w:t>
      </w:r>
      <w:bookmarkEnd w:id="11"/>
    </w:p>
    <w:p w:rsidR="00824278" w:rsidRPr="00A83B39" w:rsidRDefault="00824278" w:rsidP="00871107">
      <w:pPr>
        <w:autoSpaceDE w:val="0"/>
        <w:autoSpaceDN w:val="0"/>
        <w:adjustRightInd w:val="0"/>
        <w:rPr>
          <w:sz w:val="24"/>
          <w:szCs w:val="24"/>
        </w:rPr>
      </w:pPr>
    </w:p>
    <w:p w:rsidR="00652E64" w:rsidRPr="00A83B39" w:rsidRDefault="00652E64" w:rsidP="00871107">
      <w:pPr>
        <w:numPr>
          <w:ilvl w:val="2"/>
          <w:numId w:val="8"/>
        </w:numPr>
        <w:ind w:left="1225" w:hanging="505"/>
        <w:outlineLvl w:val="3"/>
        <w:rPr>
          <w:sz w:val="28"/>
        </w:rPr>
      </w:pPr>
      <w:bookmarkStart w:id="12" w:name="_Toc351126733"/>
      <w:r w:rsidRPr="00A83B39">
        <w:rPr>
          <w:sz w:val="28"/>
        </w:rPr>
        <w:t>La méthode du coût variable</w:t>
      </w:r>
      <w:bookmarkEnd w:id="12"/>
    </w:p>
    <w:p w:rsidR="00652E64" w:rsidRPr="00A83B39" w:rsidRDefault="00652E64" w:rsidP="00871107">
      <w:pPr>
        <w:autoSpaceDE w:val="0"/>
        <w:autoSpaceDN w:val="0"/>
        <w:adjustRightInd w:val="0"/>
        <w:rPr>
          <w:sz w:val="24"/>
          <w:szCs w:val="24"/>
        </w:rPr>
      </w:pPr>
    </w:p>
    <w:p w:rsidR="00652E64" w:rsidRPr="00A83B39" w:rsidRDefault="00652E64" w:rsidP="00871107">
      <w:pPr>
        <w:autoSpaceDE w:val="0"/>
        <w:autoSpaceDN w:val="0"/>
        <w:adjustRightInd w:val="0"/>
        <w:rPr>
          <w:sz w:val="24"/>
          <w:szCs w:val="24"/>
        </w:rPr>
      </w:pPr>
      <w:r w:rsidRPr="00A83B39">
        <w:rPr>
          <w:sz w:val="24"/>
          <w:szCs w:val="24"/>
        </w:rPr>
        <w:t xml:space="preserve">La méthode du coût variable permet d’analyser la composition d’un portefeuille de produits afin de prendre des décisions à court terme : quels produits supprimer et quels produits développer. Selon cette méthode, seules les charges variables sont réparties entre les différents produits. Chaque produit dégage une marge sur coût variable calculée par différence entre sa prime et son coût variable. Cette marge doit couvrir les charges fixes de l’entreprise et permettre à celle-ci de dégager un bénéfice. Si plusieurs produits sont vendus, chacun apporte une marge qui concourt à l’absorption des charges fixes de l’entreprise (non ventilées par produit) : </w:t>
      </w:r>
      <w:r w:rsidRPr="00A83B39">
        <w:rPr>
          <w:b/>
          <w:sz w:val="24"/>
          <w:szCs w:val="24"/>
        </w:rPr>
        <w:t>résultat = Σ MSCV – CF</w:t>
      </w:r>
      <w:r w:rsidRPr="00A83B39">
        <w:rPr>
          <w:sz w:val="24"/>
          <w:szCs w:val="24"/>
        </w:rPr>
        <w:t xml:space="preserve"> </w:t>
      </w:r>
    </w:p>
    <w:p w:rsidR="00652E64" w:rsidRPr="00A83B39" w:rsidRDefault="00652E64" w:rsidP="00871107">
      <w:pPr>
        <w:autoSpaceDE w:val="0"/>
        <w:autoSpaceDN w:val="0"/>
        <w:adjustRightInd w:val="0"/>
        <w:rPr>
          <w:sz w:val="24"/>
          <w:szCs w:val="24"/>
        </w:rPr>
      </w:pPr>
      <w:r w:rsidRPr="00A83B39">
        <w:rPr>
          <w:sz w:val="24"/>
          <w:szCs w:val="24"/>
        </w:rPr>
        <w:lastRenderedPageBreak/>
        <w:t>Un produit présentant une MSCV négative doit être abandonné, sauf considérations d’ordre stratégique. Lorsque la MSCV est positive, des analyses plus poussées sont nécessaires (cf. chapitre suivant sur le coût spécifique).</w:t>
      </w:r>
    </w:p>
    <w:p w:rsidR="00652E64" w:rsidRPr="00A83B39" w:rsidRDefault="00652E64" w:rsidP="00871107">
      <w:pPr>
        <w:autoSpaceDE w:val="0"/>
        <w:autoSpaceDN w:val="0"/>
        <w:adjustRightInd w:val="0"/>
        <w:rPr>
          <w:sz w:val="24"/>
          <w:szCs w:val="24"/>
        </w:rPr>
      </w:pPr>
    </w:p>
    <w:p w:rsidR="00652E64" w:rsidRPr="00A83B39" w:rsidRDefault="00652E64" w:rsidP="00871107">
      <w:pPr>
        <w:autoSpaceDE w:val="0"/>
        <w:autoSpaceDN w:val="0"/>
        <w:adjustRightInd w:val="0"/>
        <w:rPr>
          <w:sz w:val="24"/>
          <w:szCs w:val="24"/>
        </w:rPr>
      </w:pPr>
    </w:p>
    <w:p w:rsidR="00652E64" w:rsidRPr="00A83B39" w:rsidRDefault="00652E64" w:rsidP="00871107">
      <w:pPr>
        <w:numPr>
          <w:ilvl w:val="2"/>
          <w:numId w:val="8"/>
        </w:numPr>
        <w:ind w:left="1225" w:hanging="505"/>
        <w:outlineLvl w:val="3"/>
        <w:rPr>
          <w:sz w:val="28"/>
        </w:rPr>
      </w:pPr>
      <w:bookmarkStart w:id="13" w:name="_Toc351126734"/>
      <w:r w:rsidRPr="00A83B39">
        <w:rPr>
          <w:sz w:val="28"/>
        </w:rPr>
        <w:t>La méthode du coût spécifique</w:t>
      </w:r>
      <w:bookmarkEnd w:id="13"/>
    </w:p>
    <w:p w:rsidR="00652E64" w:rsidRPr="00A83B39" w:rsidRDefault="00652E64" w:rsidP="00871107">
      <w:pPr>
        <w:autoSpaceDE w:val="0"/>
        <w:autoSpaceDN w:val="0"/>
        <w:adjustRightInd w:val="0"/>
        <w:rPr>
          <w:sz w:val="24"/>
          <w:szCs w:val="24"/>
        </w:rPr>
      </w:pPr>
    </w:p>
    <w:p w:rsidR="00652E64" w:rsidRPr="00A83B39" w:rsidRDefault="00652E64" w:rsidP="00871107">
      <w:pPr>
        <w:autoSpaceDE w:val="0"/>
        <w:autoSpaceDN w:val="0"/>
        <w:adjustRightInd w:val="0"/>
        <w:rPr>
          <w:sz w:val="24"/>
          <w:szCs w:val="24"/>
        </w:rPr>
      </w:pPr>
      <w:r w:rsidRPr="00A83B39">
        <w:rPr>
          <w:sz w:val="24"/>
          <w:szCs w:val="24"/>
        </w:rPr>
        <w:t>La méthode du coût spécifique permet également d’analyser la composition d’un portefeuille de produits mais dans une optique à long terme. Selon cette méthode, non seulement les charges variables, mais également les charges fixes directes sont réparties entre les différents produits. En effet, si on considère qu’à court terme, seule une action sur les charges variables est possible, à long terme il devient possible d’agir également sur les coûts fixes directs (revendre un matériel, licencier du personnel, rompre un contrat de bail, ….).</w:t>
      </w:r>
    </w:p>
    <w:p w:rsidR="00652E64" w:rsidRPr="00A83B39" w:rsidRDefault="00652E64" w:rsidP="00871107">
      <w:pPr>
        <w:autoSpaceDE w:val="0"/>
        <w:autoSpaceDN w:val="0"/>
        <w:adjustRightInd w:val="0"/>
        <w:rPr>
          <w:sz w:val="24"/>
          <w:szCs w:val="24"/>
        </w:rPr>
      </w:pPr>
      <w:r w:rsidRPr="00A83B39">
        <w:rPr>
          <w:sz w:val="24"/>
          <w:szCs w:val="24"/>
        </w:rPr>
        <w:t xml:space="preserve">Selon cette méthode, chaque produit dégage une marge sur coût spécifique (MSCS) calculée par différence entre </w:t>
      </w:r>
      <w:r w:rsidR="008805DC" w:rsidRPr="00A83B39">
        <w:rPr>
          <w:sz w:val="24"/>
          <w:szCs w:val="24"/>
        </w:rPr>
        <w:t>la prime</w:t>
      </w:r>
      <w:r w:rsidRPr="00A83B39">
        <w:rPr>
          <w:sz w:val="24"/>
          <w:szCs w:val="24"/>
        </w:rPr>
        <w:t xml:space="preserve"> du produit </w:t>
      </w:r>
      <w:r w:rsidR="008805DC" w:rsidRPr="00A83B39">
        <w:rPr>
          <w:sz w:val="24"/>
          <w:szCs w:val="24"/>
        </w:rPr>
        <w:t xml:space="preserve">d'assurance </w:t>
      </w:r>
      <w:r w:rsidRPr="00A83B39">
        <w:rPr>
          <w:sz w:val="24"/>
          <w:szCs w:val="24"/>
        </w:rPr>
        <w:t xml:space="preserve">et son coût spécifique. Cette marge doit couvrir les charges fixes indirectes (communes) de l’entreprise et permettre à celle-ci de dégager un bénéfice. Si plusieurs produits sont vendus, chacun apporte une marge qui concourt à l’absorption des charges fixes communes de l’entreprise (non ventilées par produit) : </w:t>
      </w:r>
      <w:r w:rsidRPr="00A83B39">
        <w:rPr>
          <w:b/>
          <w:sz w:val="24"/>
          <w:szCs w:val="24"/>
        </w:rPr>
        <w:t>résultat = Σ MSCS – CF indirectes</w:t>
      </w:r>
    </w:p>
    <w:p w:rsidR="003A6745" w:rsidRPr="00A83B39" w:rsidRDefault="00652E64" w:rsidP="00871107">
      <w:pPr>
        <w:autoSpaceDE w:val="0"/>
        <w:autoSpaceDN w:val="0"/>
        <w:adjustRightInd w:val="0"/>
        <w:rPr>
          <w:sz w:val="24"/>
          <w:szCs w:val="24"/>
        </w:rPr>
      </w:pPr>
      <w:r w:rsidRPr="00A83B39">
        <w:rPr>
          <w:sz w:val="24"/>
          <w:szCs w:val="24"/>
        </w:rPr>
        <w:t>Dans le cas où la MSCS est négative, il faut envisager à terme de supprimer l’activité déficitaire dans la mesure où sa suppression entraînera la suppression des charges fixes spécifiques.</w:t>
      </w:r>
    </w:p>
    <w:p w:rsidR="003A6745" w:rsidRDefault="003A6745">
      <w:pPr>
        <w:jc w:val="left"/>
        <w:rPr>
          <w:rFonts w:ascii="TimesNewRoman" w:hAnsi="TimesNewRoman" w:cs="TimesNewRoman"/>
          <w:sz w:val="24"/>
          <w:szCs w:val="24"/>
        </w:rPr>
      </w:pPr>
    </w:p>
    <w:p w:rsidR="00BB4E8F" w:rsidRDefault="00BB4E8F">
      <w:pPr>
        <w:jc w:val="left"/>
        <w:rPr>
          <w:rFonts w:ascii="TimesNewRoman" w:hAnsi="TimesNewRoman" w:cs="TimesNewRoman"/>
          <w:sz w:val="24"/>
          <w:szCs w:val="24"/>
        </w:rPr>
      </w:pPr>
    </w:p>
    <w:p w:rsidR="00BB4E8F" w:rsidRPr="00A83B39" w:rsidRDefault="00BB4E8F">
      <w:pPr>
        <w:jc w:val="left"/>
        <w:rPr>
          <w:rFonts w:ascii="TimesNewRoman" w:hAnsi="TimesNewRoman" w:cs="TimesNewRoman"/>
          <w:sz w:val="24"/>
          <w:szCs w:val="24"/>
        </w:rPr>
      </w:pPr>
    </w:p>
    <w:p w:rsidR="003A6745" w:rsidRPr="00A83B39" w:rsidRDefault="003A6745" w:rsidP="00826E93">
      <w:pPr>
        <w:numPr>
          <w:ilvl w:val="0"/>
          <w:numId w:val="8"/>
        </w:numPr>
        <w:ind w:left="357" w:hanging="357"/>
        <w:outlineLvl w:val="1"/>
        <w:rPr>
          <w:sz w:val="28"/>
        </w:rPr>
      </w:pPr>
      <w:bookmarkStart w:id="14" w:name="_Toc351126735"/>
      <w:r w:rsidRPr="00A83B39">
        <w:rPr>
          <w:sz w:val="28"/>
        </w:rPr>
        <w:t xml:space="preserve">Les coûts complets </w:t>
      </w:r>
      <w:r w:rsidR="000B2A58" w:rsidRPr="00A83B39">
        <w:rPr>
          <w:sz w:val="28"/>
        </w:rPr>
        <w:t>: méthode des centres d'analyse</w:t>
      </w:r>
      <w:bookmarkEnd w:id="14"/>
    </w:p>
    <w:p w:rsidR="00652E64" w:rsidRPr="00A83B39" w:rsidRDefault="00652E64" w:rsidP="00652E64">
      <w:pPr>
        <w:autoSpaceDE w:val="0"/>
        <w:autoSpaceDN w:val="0"/>
        <w:adjustRightInd w:val="0"/>
        <w:jc w:val="left"/>
        <w:rPr>
          <w:rFonts w:ascii="TimesNewRoman" w:hAnsi="TimesNewRoman" w:cs="TimesNewRoman"/>
          <w:sz w:val="24"/>
          <w:szCs w:val="24"/>
        </w:rPr>
      </w:pPr>
    </w:p>
    <w:p w:rsidR="00C13C8D" w:rsidRPr="00A83B39" w:rsidRDefault="00C13C8D" w:rsidP="00826E93">
      <w:pPr>
        <w:numPr>
          <w:ilvl w:val="1"/>
          <w:numId w:val="8"/>
        </w:numPr>
        <w:ind w:left="788" w:hanging="431"/>
        <w:outlineLvl w:val="2"/>
        <w:rPr>
          <w:sz w:val="28"/>
        </w:rPr>
      </w:pPr>
      <w:bookmarkStart w:id="15" w:name="_Toc351126736"/>
      <w:r w:rsidRPr="00A83B39">
        <w:rPr>
          <w:sz w:val="28"/>
        </w:rPr>
        <w:t>La méthode des centres d'analyse</w:t>
      </w:r>
      <w:bookmarkEnd w:id="15"/>
    </w:p>
    <w:p w:rsidR="00C13C8D" w:rsidRPr="00A83B39" w:rsidRDefault="00C13C8D" w:rsidP="00652E64">
      <w:pPr>
        <w:autoSpaceDE w:val="0"/>
        <w:autoSpaceDN w:val="0"/>
        <w:adjustRightInd w:val="0"/>
        <w:jc w:val="left"/>
        <w:rPr>
          <w:rFonts w:ascii="TimesNewRoman" w:hAnsi="TimesNewRoman" w:cs="TimesNewRoman"/>
          <w:sz w:val="24"/>
          <w:szCs w:val="24"/>
        </w:rPr>
      </w:pPr>
    </w:p>
    <w:p w:rsidR="003A6745" w:rsidRPr="00A83B39" w:rsidRDefault="000206DE" w:rsidP="00871107">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La méthode des centres d’analyse est une méthode de calcul du coût complet d’un produit, mais il en existe d’autres. Certaines sont plus simples mais donnent des résultats moins précis (coefficient d’imputation), d’autres nécessitent des traitements plus complexes et plus coûteux mais donnent des résultats plus précis (méthode ABC). Toutefois, elle est la plus couramment utilisée car elle présente un rapport satisfaisant entre la complexité des traitements et la précision des résultats. De plus, elle est recommandée par le plan comptable général. Elle consiste à analyser les charges incorporables en termes de charges directes et indirectes : les charges directes sont imputées directement aux produits concernés alors que les charges indirectes sont réparties entre des centres d’analyse avant d’être imputées entre les produits en fonction d’unités d’œuvres.</w:t>
      </w:r>
    </w:p>
    <w:p w:rsidR="005950D3" w:rsidRPr="00A83B39" w:rsidRDefault="005950D3" w:rsidP="000206DE">
      <w:pPr>
        <w:autoSpaceDE w:val="0"/>
        <w:autoSpaceDN w:val="0"/>
        <w:adjustRightInd w:val="0"/>
        <w:jc w:val="left"/>
        <w:rPr>
          <w:rFonts w:ascii="TimesNewRoman" w:hAnsi="TimesNewRoman" w:cs="TimesNewRoman"/>
          <w:sz w:val="24"/>
          <w:szCs w:val="24"/>
        </w:rPr>
      </w:pPr>
    </w:p>
    <w:p w:rsidR="00C121B8" w:rsidRPr="00A83B39" w:rsidRDefault="0004651B" w:rsidP="000206DE">
      <w:pPr>
        <w:autoSpaceDE w:val="0"/>
        <w:autoSpaceDN w:val="0"/>
        <w:adjustRightInd w:val="0"/>
        <w:jc w:val="left"/>
        <w:rPr>
          <w:rFonts w:ascii="TimesNewRoman" w:hAnsi="TimesNewRoman" w:cs="TimesNewRoman"/>
          <w:sz w:val="24"/>
          <w:szCs w:val="24"/>
        </w:rPr>
      </w:pPr>
      <w:r>
        <w:rPr>
          <w:rFonts w:ascii="TimesNewRoman" w:hAnsi="TimesNewRoman" w:cs="TimesNewRoman"/>
          <w:noProof/>
          <w:sz w:val="24"/>
          <w:szCs w:val="24"/>
        </w:rPr>
        <mc:AlternateContent>
          <mc:Choice Requires="wpg">
            <w:drawing>
              <wp:anchor distT="0" distB="0" distL="114300" distR="114300" simplePos="0" relativeHeight="251657728" behindDoc="0" locked="0" layoutInCell="1" allowOverlap="1">
                <wp:simplePos x="0" y="0"/>
                <wp:positionH relativeFrom="column">
                  <wp:posOffset>386715</wp:posOffset>
                </wp:positionH>
                <wp:positionV relativeFrom="paragraph">
                  <wp:posOffset>91440</wp:posOffset>
                </wp:positionV>
                <wp:extent cx="4997450" cy="1869440"/>
                <wp:effectExtent l="5715" t="5715" r="6985" b="10795"/>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0" cy="1869440"/>
                          <a:chOff x="2026" y="5793"/>
                          <a:chExt cx="7870" cy="2944"/>
                        </a:xfrm>
                      </wpg:grpSpPr>
                      <wps:wsp>
                        <wps:cNvPr id="25" name="AutoShape 4"/>
                        <wps:cNvCnPr>
                          <a:cxnSpLocks noChangeShapeType="1"/>
                        </wps:cNvCnPr>
                        <wps:spPr bwMode="auto">
                          <a:xfrm>
                            <a:off x="2848" y="6279"/>
                            <a:ext cx="5039" cy="20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26" name="Group 5"/>
                        <wpg:cNvGrpSpPr>
                          <a:grpSpLocks/>
                        </wpg:cNvGrpSpPr>
                        <wpg:grpSpPr bwMode="auto">
                          <a:xfrm>
                            <a:off x="2026" y="5793"/>
                            <a:ext cx="7870" cy="2944"/>
                            <a:chOff x="2026" y="5793"/>
                            <a:chExt cx="7870" cy="2944"/>
                          </a:xfrm>
                        </wpg:grpSpPr>
                        <wps:wsp>
                          <wps:cNvPr id="27" name="AutoShape 6"/>
                          <wps:cNvCnPr>
                            <a:cxnSpLocks noChangeShapeType="1"/>
                          </wps:cNvCnPr>
                          <wps:spPr bwMode="auto">
                            <a:xfrm flipH="1">
                              <a:off x="3970" y="7719"/>
                              <a:ext cx="1661" cy="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7"/>
                          <wpg:cNvGrpSpPr>
                            <a:grpSpLocks/>
                          </wpg:cNvGrpSpPr>
                          <wpg:grpSpPr bwMode="auto">
                            <a:xfrm>
                              <a:off x="2026" y="5793"/>
                              <a:ext cx="7870" cy="2944"/>
                              <a:chOff x="2026" y="5793"/>
                              <a:chExt cx="7870" cy="2944"/>
                            </a:xfrm>
                          </wpg:grpSpPr>
                          <wps:wsp>
                            <wps:cNvPr id="29" name="Rectangle 8"/>
                            <wps:cNvSpPr>
                              <a:spLocks noChangeArrowheads="1"/>
                            </wps:cNvSpPr>
                            <wps:spPr bwMode="auto">
                              <a:xfrm>
                                <a:off x="2026" y="5793"/>
                                <a:ext cx="2076" cy="486"/>
                              </a:xfrm>
                              <a:prstGeom prst="rect">
                                <a:avLst/>
                              </a:prstGeom>
                              <a:solidFill>
                                <a:srgbClr val="FFFFFF"/>
                              </a:solidFill>
                              <a:ln w="9525">
                                <a:solidFill>
                                  <a:srgbClr val="000000"/>
                                </a:solidFill>
                                <a:miter lim="800000"/>
                                <a:headEnd/>
                                <a:tailEnd/>
                              </a:ln>
                            </wps:spPr>
                            <wps:txbx>
                              <w:txbxContent>
                                <w:p w:rsidR="00025695" w:rsidRDefault="00025695" w:rsidP="00373B33">
                                  <w:pPr>
                                    <w:jc w:val="center"/>
                                  </w:pPr>
                                  <w:r>
                                    <w:t>Charges directes</w:t>
                                  </w:r>
                                </w:p>
                              </w:txbxContent>
                            </wps:txbx>
                            <wps:bodyPr rot="0" vert="horz" wrap="square" lIns="91440" tIns="45720" rIns="91440" bIns="45720" anchor="t" anchorCtr="0" upright="1">
                              <a:noAutofit/>
                            </wps:bodyPr>
                          </wps:wsp>
                          <wps:wsp>
                            <wps:cNvPr id="30" name="Rectangle 9"/>
                            <wps:cNvSpPr>
                              <a:spLocks noChangeArrowheads="1"/>
                            </wps:cNvSpPr>
                            <wps:spPr bwMode="auto">
                              <a:xfrm>
                                <a:off x="4342" y="5793"/>
                                <a:ext cx="5554" cy="486"/>
                              </a:xfrm>
                              <a:prstGeom prst="rect">
                                <a:avLst/>
                              </a:prstGeom>
                              <a:solidFill>
                                <a:srgbClr val="FFFFFF"/>
                              </a:solidFill>
                              <a:ln w="9525">
                                <a:solidFill>
                                  <a:srgbClr val="000000"/>
                                </a:solidFill>
                                <a:miter lim="800000"/>
                                <a:headEnd/>
                                <a:tailEnd/>
                              </a:ln>
                            </wps:spPr>
                            <wps:txbx>
                              <w:txbxContent>
                                <w:p w:rsidR="00025695" w:rsidRDefault="00025695" w:rsidP="00373B33">
                                  <w:pPr>
                                    <w:jc w:val="center"/>
                                  </w:pPr>
                                  <w:r>
                                    <w:t>Charges indirectes</w:t>
                                  </w:r>
                                </w:p>
                              </w:txbxContent>
                            </wps:txbx>
                            <wps:bodyPr rot="0" vert="horz" wrap="square" lIns="91440" tIns="45720" rIns="91440" bIns="45720" anchor="t" anchorCtr="0" upright="1">
                              <a:noAutofit/>
                            </wps:bodyPr>
                          </wps:wsp>
                          <wps:wsp>
                            <wps:cNvPr id="31" name="Oval 10"/>
                            <wps:cNvSpPr>
                              <a:spLocks noChangeArrowheads="1"/>
                            </wps:cNvSpPr>
                            <wps:spPr bwMode="auto">
                              <a:xfrm>
                                <a:off x="4342" y="6865"/>
                                <a:ext cx="2629" cy="854"/>
                              </a:xfrm>
                              <a:prstGeom prst="ellipse">
                                <a:avLst/>
                              </a:prstGeom>
                              <a:solidFill>
                                <a:srgbClr val="FFFFFF"/>
                              </a:solidFill>
                              <a:ln w="9525">
                                <a:solidFill>
                                  <a:srgbClr val="000000"/>
                                </a:solidFill>
                                <a:round/>
                                <a:headEnd/>
                                <a:tailEnd/>
                              </a:ln>
                            </wps:spPr>
                            <wps:txbx>
                              <w:txbxContent>
                                <w:p w:rsidR="00025695" w:rsidRDefault="00025695" w:rsidP="00373B33">
                                  <w:pPr>
                                    <w:jc w:val="center"/>
                                  </w:pPr>
                                  <w:r>
                                    <w:t>Centre d'analyse n°1</w:t>
                                  </w:r>
                                </w:p>
                                <w:p w:rsidR="00025695" w:rsidRDefault="00025695"/>
                              </w:txbxContent>
                            </wps:txbx>
                            <wps:bodyPr rot="0" vert="horz" wrap="square" lIns="91440" tIns="45720" rIns="91440" bIns="45720" anchor="t" anchorCtr="0" upright="1">
                              <a:noAutofit/>
                            </wps:bodyPr>
                          </wps:wsp>
                          <wps:wsp>
                            <wps:cNvPr id="32" name="Oval 11"/>
                            <wps:cNvSpPr>
                              <a:spLocks noChangeArrowheads="1"/>
                            </wps:cNvSpPr>
                            <wps:spPr bwMode="auto">
                              <a:xfrm>
                                <a:off x="7267" y="6865"/>
                                <a:ext cx="2629" cy="854"/>
                              </a:xfrm>
                              <a:prstGeom prst="ellipse">
                                <a:avLst/>
                              </a:prstGeom>
                              <a:solidFill>
                                <a:srgbClr val="FFFFFF"/>
                              </a:solidFill>
                              <a:ln w="9525">
                                <a:solidFill>
                                  <a:srgbClr val="000000"/>
                                </a:solidFill>
                                <a:round/>
                                <a:headEnd/>
                                <a:tailEnd/>
                              </a:ln>
                            </wps:spPr>
                            <wps:txbx>
                              <w:txbxContent>
                                <w:p w:rsidR="00025695" w:rsidRDefault="00025695" w:rsidP="00373B33">
                                  <w:pPr>
                                    <w:jc w:val="center"/>
                                  </w:pPr>
                                  <w:r>
                                    <w:t>Centre d'analyse n°2</w:t>
                                  </w:r>
                                </w:p>
                                <w:p w:rsidR="00025695" w:rsidRDefault="00025695" w:rsidP="00373B33"/>
                              </w:txbxContent>
                            </wps:txbx>
                            <wps:bodyPr rot="0" vert="horz" wrap="square" lIns="91440" tIns="45720" rIns="91440" bIns="45720" anchor="t" anchorCtr="0" upright="1">
                              <a:noAutofit/>
                            </wps:bodyPr>
                          </wps:wsp>
                          <wps:wsp>
                            <wps:cNvPr id="33" name="AutoShape 12"/>
                            <wps:cNvSpPr>
                              <a:spLocks noChangeArrowheads="1"/>
                            </wps:cNvSpPr>
                            <wps:spPr bwMode="auto">
                              <a:xfrm>
                                <a:off x="2781" y="8339"/>
                                <a:ext cx="2528" cy="398"/>
                              </a:xfrm>
                              <a:prstGeom prst="roundRect">
                                <a:avLst>
                                  <a:gd name="adj" fmla="val 16667"/>
                                </a:avLst>
                              </a:prstGeom>
                              <a:solidFill>
                                <a:srgbClr val="FFFFFF"/>
                              </a:solidFill>
                              <a:ln w="9525">
                                <a:solidFill>
                                  <a:srgbClr val="000000"/>
                                </a:solidFill>
                                <a:round/>
                                <a:headEnd/>
                                <a:tailEnd/>
                              </a:ln>
                            </wps:spPr>
                            <wps:txbx>
                              <w:txbxContent>
                                <w:p w:rsidR="00025695" w:rsidRDefault="00025695" w:rsidP="00373B33">
                                  <w:pPr>
                                    <w:jc w:val="center"/>
                                  </w:pPr>
                                  <w:r>
                                    <w:t>Produit A</w:t>
                                  </w:r>
                                </w:p>
                              </w:txbxContent>
                            </wps:txbx>
                            <wps:bodyPr rot="0" vert="horz" wrap="square" lIns="91440" tIns="45720" rIns="91440" bIns="45720" anchor="t" anchorCtr="0" upright="1">
                              <a:noAutofit/>
                            </wps:bodyPr>
                          </wps:wsp>
                          <wps:wsp>
                            <wps:cNvPr id="34" name="AutoShape 13"/>
                            <wps:cNvSpPr>
                              <a:spLocks noChangeArrowheads="1"/>
                            </wps:cNvSpPr>
                            <wps:spPr bwMode="auto">
                              <a:xfrm>
                                <a:off x="6564" y="8339"/>
                                <a:ext cx="2528" cy="398"/>
                              </a:xfrm>
                              <a:prstGeom prst="roundRect">
                                <a:avLst>
                                  <a:gd name="adj" fmla="val 16667"/>
                                </a:avLst>
                              </a:prstGeom>
                              <a:solidFill>
                                <a:srgbClr val="FFFFFF"/>
                              </a:solidFill>
                              <a:ln w="9525">
                                <a:solidFill>
                                  <a:srgbClr val="000000"/>
                                </a:solidFill>
                                <a:round/>
                                <a:headEnd/>
                                <a:tailEnd/>
                              </a:ln>
                            </wps:spPr>
                            <wps:txbx>
                              <w:txbxContent>
                                <w:p w:rsidR="00025695" w:rsidRDefault="00025695" w:rsidP="00373B33">
                                  <w:pPr>
                                    <w:jc w:val="center"/>
                                  </w:pPr>
                                  <w:r>
                                    <w:t>Produit B</w:t>
                                  </w:r>
                                </w:p>
                              </w:txbxContent>
                            </wps:txbx>
                            <wps:bodyPr rot="0" vert="horz" wrap="square" lIns="91440" tIns="45720" rIns="91440" bIns="45720" anchor="t" anchorCtr="0" upright="1">
                              <a:noAutofit/>
                            </wps:bodyPr>
                          </wps:wsp>
                          <wps:wsp>
                            <wps:cNvPr id="35" name="AutoShape 14"/>
                            <wps:cNvCnPr>
                              <a:cxnSpLocks noChangeShapeType="1"/>
                            </wps:cNvCnPr>
                            <wps:spPr bwMode="auto">
                              <a:xfrm>
                                <a:off x="2848" y="6279"/>
                                <a:ext cx="1122" cy="20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AutoShape 15"/>
                            <wps:cNvCnPr>
                              <a:cxnSpLocks noChangeShapeType="1"/>
                            </wps:cNvCnPr>
                            <wps:spPr bwMode="auto">
                              <a:xfrm flipH="1">
                                <a:off x="3970" y="7719"/>
                                <a:ext cx="4586" cy="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6"/>
                            <wps:cNvCnPr>
                              <a:cxnSpLocks noChangeShapeType="1"/>
                            </wps:cNvCnPr>
                            <wps:spPr bwMode="auto">
                              <a:xfrm>
                                <a:off x="5631" y="7719"/>
                                <a:ext cx="2256" cy="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7"/>
                            <wps:cNvCnPr>
                              <a:cxnSpLocks noChangeShapeType="1"/>
                            </wps:cNvCnPr>
                            <wps:spPr bwMode="auto">
                              <a:xfrm flipH="1">
                                <a:off x="5631" y="6279"/>
                                <a:ext cx="1408"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8"/>
                            <wps:cNvCnPr>
                              <a:cxnSpLocks noChangeShapeType="1"/>
                            </wps:cNvCnPr>
                            <wps:spPr bwMode="auto">
                              <a:xfrm>
                                <a:off x="7039" y="6279"/>
                                <a:ext cx="1601"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45pt;margin-top:7.2pt;width:393.5pt;height:147.2pt;z-index:251657728" coordorigin="2026,5793" coordsize="7870,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">
                <v:shapetype id="_x0000_t32" coordsize="21600,21600" o:spt="32" o:oned="t" path="m,l21600,21600e" filled="f">
                  <v:path arrowok="t" fillok="f" o:connecttype="none"/>
                  <o:lock v:ext="edit" shapetype="t"/>
                </v:shapetype>
                <v:shape id="AutoShape 4" o:spid="_x0000_s1027" type="#_x0000_t32" style="position:absolute;left:2848;top:6279;width:5039;height:2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rB8IAAADbAAAADwAAAGRycy9kb3ducmV2LnhtbESPS4vCMBSF9wP+h3AFd2Nq0UGqUVSY&#10;wZWMD8Tltbn2YXNTmqj130+EAZeH8/g403lrKnGnxhWWFQz6EQji1OqCMwWH/ffnGITzyBory6Tg&#10;SQ7ms87HFBNtH7yl+85nIoywS1BB7n2dSOnSnAy6vq2Jg3exjUEfZJNJ3eAjjJtKxlH0JQ0WHAg5&#10;1rTKKb3ubkZBWY3icsM/v+djdjoPl4FUDk5K9brtYgLCU+vf4f/2WiuIR/D6En6A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WrB8IAAADbAAAADwAAAAAAAAAAAAAA&#10;AAChAgAAZHJzL2Rvd25yZXYueG1sUEsFBgAAAAAEAAQA+QAAAJADAAAAAA==&#10;">
                  <v:stroke dashstyle="dash" endarrow="block"/>
                </v:shape>
                <v:group id="Group 5" o:spid="_x0000_s1028" style="position:absolute;left:2026;top:5793;width:7870;height:2944" coordorigin="2026,5793" coordsize="7870,2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6" o:spid="_x0000_s1029" type="#_x0000_t32" style="position:absolute;left:3970;top:7719;width:1661;height: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group id="Group 7" o:spid="_x0000_s1030" style="position:absolute;left:2026;top:5793;width:7870;height:2944" coordorigin="2026,5793" coordsize="7870,2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8" o:spid="_x0000_s1031" style="position:absolute;left:2026;top:5793;width:2076;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025695" w:rsidRDefault="00025695" w:rsidP="00373B33">
                            <w:pPr>
                              <w:jc w:val="center"/>
                            </w:pPr>
                            <w:r>
                              <w:t>Charges directes</w:t>
                            </w:r>
                          </w:p>
                        </w:txbxContent>
                      </v:textbox>
                    </v:rect>
                    <v:rect id="Rectangle 9" o:spid="_x0000_s1032" style="position:absolute;left:4342;top:5793;width:555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025695" w:rsidRDefault="00025695" w:rsidP="00373B33">
                            <w:pPr>
                              <w:jc w:val="center"/>
                            </w:pPr>
                            <w:r>
                              <w:t>Charges indirectes</w:t>
                            </w:r>
                          </w:p>
                        </w:txbxContent>
                      </v:textbox>
                    </v:rect>
                    <v:oval id="Oval 10" o:spid="_x0000_s1033" style="position:absolute;left:4342;top:6865;width:2629;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textbox>
                        <w:txbxContent>
                          <w:p w:rsidR="00025695" w:rsidRDefault="00025695" w:rsidP="00373B33">
                            <w:pPr>
                              <w:jc w:val="center"/>
                            </w:pPr>
                            <w:r>
                              <w:t>Centre d'analyse n°1</w:t>
                            </w:r>
                          </w:p>
                          <w:p w:rsidR="00025695" w:rsidRDefault="00025695"/>
                        </w:txbxContent>
                      </v:textbox>
                    </v:oval>
                    <v:oval id="Oval 11" o:spid="_x0000_s1034" style="position:absolute;left:7267;top:6865;width:2629;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w:txbxContent>
                          <w:p w:rsidR="00025695" w:rsidRDefault="00025695" w:rsidP="00373B33">
                            <w:pPr>
                              <w:jc w:val="center"/>
                            </w:pPr>
                            <w:r>
                              <w:t>Centre d'analyse n°2</w:t>
                            </w:r>
                          </w:p>
                          <w:p w:rsidR="00025695" w:rsidRDefault="00025695" w:rsidP="00373B33"/>
                        </w:txbxContent>
                      </v:textbox>
                    </v:oval>
                    <v:roundrect id="AutoShape 12" o:spid="_x0000_s1035" style="position:absolute;left:2781;top:8339;width:2528;height:3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025695" w:rsidRDefault="00025695" w:rsidP="00373B33">
                            <w:pPr>
                              <w:jc w:val="center"/>
                            </w:pPr>
                            <w:r>
                              <w:t>Produit A</w:t>
                            </w:r>
                          </w:p>
                        </w:txbxContent>
                      </v:textbox>
                    </v:roundrect>
                    <v:roundrect id="AutoShape 13" o:spid="_x0000_s1036" style="position:absolute;left:6564;top:8339;width:2528;height:3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025695" w:rsidRDefault="00025695" w:rsidP="00373B33">
                            <w:pPr>
                              <w:jc w:val="center"/>
                            </w:pPr>
                            <w:r>
                              <w:t>Produit B</w:t>
                            </w:r>
                          </w:p>
                        </w:txbxContent>
                      </v:textbox>
                    </v:roundrect>
                    <v:shape id="AutoShape 14" o:spid="_x0000_s1037" type="#_x0000_t32" style="position:absolute;left:2848;top:6279;width:1122;height:2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92sQAAADbAAAADwAAAGRycy9kb3ducmV2LnhtbESPS2vCQBSF94X+h+EW3NVJYi0lOooK&#10;SlfF2iIur5nbPJq5EzJjkv57RxC6PJzHx5kvB1OLjlpXWlYQjyMQxJnVJecKvr+2z28gnEfWWFsm&#10;BX/kYLl4fJhjqm3Pn9QdfC7CCLsUFRTeN6mULivIoBvbhjh4P7Y16INsc6lb7MO4qWUSRa/SYMmB&#10;UGBDm4Ky38PFKKjqaVJ98G5/Puan88s6kKr4pNToaVjNQHga/H/43n7XCiZTuH0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D3axAAAANsAAAAPAAAAAAAAAAAA&#10;AAAAAKECAABkcnMvZG93bnJldi54bWxQSwUGAAAAAAQABAD5AAAAkgMAAAAA&#10;">
                      <v:stroke dashstyle="dash" endarrow="block"/>
                    </v:shape>
                    <v:shape id="AutoShape 15" o:spid="_x0000_s1038" type="#_x0000_t32" style="position:absolute;left:3970;top:7719;width:4586;height: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16" o:spid="_x0000_s1039" type="#_x0000_t32" style="position:absolute;left:5631;top:7719;width:2256;height: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7" o:spid="_x0000_s1040" type="#_x0000_t32" style="position:absolute;left:5631;top:6279;width:1408;height:5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18" o:spid="_x0000_s1041" type="#_x0000_t32" style="position:absolute;left:7039;top:6279;width:1601;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group>
                </v:group>
              </v:group>
            </w:pict>
          </mc:Fallback>
        </mc:AlternateContent>
      </w:r>
    </w:p>
    <w:p w:rsidR="00C121B8" w:rsidRPr="00A83B39" w:rsidRDefault="00C121B8" w:rsidP="000206DE">
      <w:pPr>
        <w:autoSpaceDE w:val="0"/>
        <w:autoSpaceDN w:val="0"/>
        <w:adjustRightInd w:val="0"/>
        <w:jc w:val="left"/>
        <w:rPr>
          <w:rFonts w:ascii="TimesNewRoman" w:hAnsi="TimesNewRoman" w:cs="TimesNewRoman"/>
          <w:sz w:val="24"/>
          <w:szCs w:val="24"/>
        </w:rPr>
      </w:pPr>
    </w:p>
    <w:p w:rsidR="00C121B8" w:rsidRPr="00A83B39" w:rsidRDefault="00C121B8" w:rsidP="000206DE">
      <w:pPr>
        <w:autoSpaceDE w:val="0"/>
        <w:autoSpaceDN w:val="0"/>
        <w:adjustRightInd w:val="0"/>
        <w:jc w:val="left"/>
        <w:rPr>
          <w:rFonts w:ascii="TimesNewRoman" w:hAnsi="TimesNewRoman" w:cs="TimesNewRoman"/>
          <w:sz w:val="24"/>
          <w:szCs w:val="24"/>
        </w:rPr>
      </w:pPr>
    </w:p>
    <w:p w:rsidR="00C121B8" w:rsidRPr="00A83B39" w:rsidRDefault="00C121B8" w:rsidP="000206DE">
      <w:pPr>
        <w:autoSpaceDE w:val="0"/>
        <w:autoSpaceDN w:val="0"/>
        <w:adjustRightInd w:val="0"/>
        <w:jc w:val="left"/>
        <w:rPr>
          <w:rFonts w:ascii="TimesNewRoman" w:hAnsi="TimesNewRoman" w:cs="TimesNewRoman"/>
          <w:sz w:val="24"/>
          <w:szCs w:val="24"/>
        </w:rPr>
      </w:pPr>
    </w:p>
    <w:p w:rsidR="00C121B8" w:rsidRPr="00A83B39" w:rsidRDefault="00C121B8" w:rsidP="000206DE">
      <w:pPr>
        <w:autoSpaceDE w:val="0"/>
        <w:autoSpaceDN w:val="0"/>
        <w:adjustRightInd w:val="0"/>
        <w:jc w:val="left"/>
        <w:rPr>
          <w:rFonts w:ascii="TimesNewRoman" w:hAnsi="TimesNewRoman" w:cs="TimesNewRoman"/>
          <w:sz w:val="24"/>
          <w:szCs w:val="24"/>
        </w:rPr>
      </w:pPr>
    </w:p>
    <w:p w:rsidR="00C121B8" w:rsidRPr="00A83B39" w:rsidRDefault="00C121B8" w:rsidP="000206DE">
      <w:pPr>
        <w:autoSpaceDE w:val="0"/>
        <w:autoSpaceDN w:val="0"/>
        <w:adjustRightInd w:val="0"/>
        <w:jc w:val="left"/>
        <w:rPr>
          <w:rFonts w:ascii="TimesNewRoman" w:hAnsi="TimesNewRoman" w:cs="TimesNewRoman"/>
          <w:sz w:val="24"/>
          <w:szCs w:val="24"/>
        </w:rPr>
      </w:pPr>
    </w:p>
    <w:p w:rsidR="00C121B8" w:rsidRPr="00A83B39" w:rsidRDefault="00C121B8" w:rsidP="000206DE">
      <w:pPr>
        <w:autoSpaceDE w:val="0"/>
        <w:autoSpaceDN w:val="0"/>
        <w:adjustRightInd w:val="0"/>
        <w:jc w:val="left"/>
        <w:rPr>
          <w:rFonts w:ascii="TimesNewRoman" w:hAnsi="TimesNewRoman" w:cs="TimesNewRoman"/>
          <w:sz w:val="24"/>
          <w:szCs w:val="24"/>
        </w:rPr>
      </w:pPr>
    </w:p>
    <w:p w:rsidR="00C121B8" w:rsidRPr="00A83B39" w:rsidRDefault="0004651B" w:rsidP="000206DE">
      <w:pPr>
        <w:autoSpaceDE w:val="0"/>
        <w:autoSpaceDN w:val="0"/>
        <w:adjustRightInd w:val="0"/>
        <w:jc w:val="left"/>
        <w:rPr>
          <w:rFonts w:ascii="TimesNewRoman" w:hAnsi="TimesNewRoman" w:cs="TimesNewRoman"/>
          <w:sz w:val="24"/>
          <w:szCs w:val="24"/>
          <w:vertAlign w:val="subscript"/>
        </w:rPr>
      </w:pPr>
      <w:r>
        <w:rPr>
          <w:rFonts w:ascii="TimesNewRoman" w:hAnsi="TimesNewRoman" w:cs="TimesNew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4108450</wp:posOffset>
                </wp:positionH>
                <wp:positionV relativeFrom="paragraph">
                  <wp:posOffset>88265</wp:posOffset>
                </wp:positionV>
                <wp:extent cx="424815" cy="393700"/>
                <wp:effectExtent l="50800" t="12065" r="10160" b="5143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23.5pt;margin-top:6.95pt;width:33.45pt;height:31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">
                <v:stroke endarrow="block"/>
              </v:shape>
            </w:pict>
          </mc:Fallback>
        </mc:AlternateContent>
      </w:r>
    </w:p>
    <w:p w:rsidR="00373B33" w:rsidRPr="00A83B39" w:rsidRDefault="00373B33" w:rsidP="000206DE">
      <w:pPr>
        <w:autoSpaceDE w:val="0"/>
        <w:autoSpaceDN w:val="0"/>
        <w:adjustRightInd w:val="0"/>
        <w:jc w:val="left"/>
        <w:rPr>
          <w:rFonts w:ascii="TimesNewRoman" w:hAnsi="TimesNewRoman" w:cs="TimesNewRoman"/>
          <w:sz w:val="24"/>
          <w:szCs w:val="24"/>
        </w:rPr>
      </w:pPr>
    </w:p>
    <w:p w:rsidR="00373B33" w:rsidRPr="00A83B39" w:rsidRDefault="00373B33" w:rsidP="000206DE">
      <w:pPr>
        <w:autoSpaceDE w:val="0"/>
        <w:autoSpaceDN w:val="0"/>
        <w:adjustRightInd w:val="0"/>
        <w:jc w:val="left"/>
        <w:rPr>
          <w:rFonts w:ascii="TimesNewRoman" w:hAnsi="TimesNewRoman" w:cs="TimesNewRoman"/>
          <w:sz w:val="24"/>
          <w:szCs w:val="24"/>
        </w:rPr>
      </w:pPr>
    </w:p>
    <w:p w:rsidR="00C121B8" w:rsidRPr="00A83B39" w:rsidRDefault="00C121B8" w:rsidP="000206DE">
      <w:pPr>
        <w:autoSpaceDE w:val="0"/>
        <w:autoSpaceDN w:val="0"/>
        <w:adjustRightInd w:val="0"/>
        <w:jc w:val="left"/>
        <w:rPr>
          <w:rFonts w:ascii="TimesNewRoman" w:hAnsi="TimesNewRoman" w:cs="TimesNewRoman"/>
          <w:sz w:val="24"/>
          <w:szCs w:val="24"/>
        </w:rPr>
      </w:pPr>
    </w:p>
    <w:p w:rsidR="00C121B8" w:rsidRPr="00A83B39" w:rsidRDefault="00C121B8" w:rsidP="000206DE">
      <w:pPr>
        <w:autoSpaceDE w:val="0"/>
        <w:autoSpaceDN w:val="0"/>
        <w:adjustRightInd w:val="0"/>
        <w:jc w:val="left"/>
        <w:rPr>
          <w:rFonts w:ascii="TimesNewRoman" w:hAnsi="TimesNewRoman" w:cs="TimesNewRoman"/>
          <w:sz w:val="24"/>
          <w:szCs w:val="24"/>
        </w:rPr>
      </w:pPr>
    </w:p>
    <w:p w:rsidR="00C121B8" w:rsidRPr="00A83B39" w:rsidRDefault="00C121B8" w:rsidP="00373B33">
      <w:pPr>
        <w:autoSpaceDE w:val="0"/>
        <w:autoSpaceDN w:val="0"/>
        <w:adjustRightInd w:val="0"/>
        <w:jc w:val="center"/>
        <w:rPr>
          <w:rFonts w:ascii="TimesNewRoman" w:hAnsi="TimesNewRoman" w:cs="TimesNewRoman"/>
          <w:sz w:val="24"/>
          <w:szCs w:val="24"/>
        </w:rPr>
      </w:pPr>
    </w:p>
    <w:p w:rsidR="003A0927" w:rsidRPr="00A83B39" w:rsidRDefault="003A0927" w:rsidP="000206DE">
      <w:pPr>
        <w:autoSpaceDE w:val="0"/>
        <w:autoSpaceDN w:val="0"/>
        <w:adjustRightInd w:val="0"/>
        <w:jc w:val="left"/>
        <w:rPr>
          <w:rFonts w:ascii="TimesNewRoman" w:hAnsi="TimesNewRoman" w:cs="TimesNewRoman"/>
          <w:sz w:val="24"/>
          <w:szCs w:val="24"/>
        </w:rPr>
      </w:pPr>
    </w:p>
    <w:p w:rsidR="003A0927" w:rsidRPr="00A83B39" w:rsidRDefault="003A0927" w:rsidP="00871107">
      <w:pPr>
        <w:numPr>
          <w:ilvl w:val="2"/>
          <w:numId w:val="8"/>
        </w:numPr>
        <w:ind w:left="1225" w:hanging="505"/>
        <w:outlineLvl w:val="3"/>
        <w:rPr>
          <w:sz w:val="28"/>
        </w:rPr>
      </w:pPr>
      <w:r w:rsidRPr="00A83B39">
        <w:rPr>
          <w:sz w:val="28"/>
        </w:rPr>
        <w:t xml:space="preserve"> </w:t>
      </w:r>
      <w:bookmarkStart w:id="16" w:name="_Toc351126737"/>
      <w:r w:rsidRPr="00A83B39">
        <w:rPr>
          <w:sz w:val="28"/>
        </w:rPr>
        <w:t>Le découpage en centres d’analyse</w:t>
      </w:r>
      <w:bookmarkEnd w:id="16"/>
    </w:p>
    <w:p w:rsidR="00C13C8D" w:rsidRPr="00A83B39" w:rsidRDefault="00C13C8D" w:rsidP="00871107">
      <w:pPr>
        <w:ind w:left="792"/>
        <w:rPr>
          <w:sz w:val="28"/>
        </w:rPr>
      </w:pPr>
    </w:p>
    <w:p w:rsidR="003A0927" w:rsidRPr="00A83B39" w:rsidRDefault="003A0927" w:rsidP="00871107">
      <w:pPr>
        <w:autoSpaceDE w:val="0"/>
        <w:autoSpaceDN w:val="0"/>
        <w:adjustRightInd w:val="0"/>
        <w:rPr>
          <w:sz w:val="24"/>
          <w:szCs w:val="24"/>
        </w:rPr>
      </w:pPr>
      <w:r w:rsidRPr="00A83B39">
        <w:rPr>
          <w:sz w:val="24"/>
          <w:szCs w:val="24"/>
        </w:rPr>
        <w:lastRenderedPageBreak/>
        <w:t>Un centre d’analyse est un compartiment comptable permettant de regrouper les éléments de charges indirectes avant de les imputer aux produits. Il correspond à une division de l’entreprise (service actuariat, service des réclamations, etc.). Plus le découpage en centres d’analyse sera fin, plus les résultats obtenus seront précis mais plus le coût du traitement sera élevé. Il faut donc l’adapter aux besoins de l’entreprise.</w:t>
      </w:r>
    </w:p>
    <w:p w:rsidR="003A0927" w:rsidRPr="00A83B39" w:rsidRDefault="003A0927" w:rsidP="00871107">
      <w:pPr>
        <w:autoSpaceDE w:val="0"/>
        <w:autoSpaceDN w:val="0"/>
        <w:adjustRightInd w:val="0"/>
        <w:rPr>
          <w:sz w:val="24"/>
          <w:szCs w:val="24"/>
        </w:rPr>
      </w:pPr>
    </w:p>
    <w:p w:rsidR="00C13C8D" w:rsidRPr="00BB4E8F" w:rsidRDefault="003A0927" w:rsidP="00871107">
      <w:pPr>
        <w:numPr>
          <w:ilvl w:val="2"/>
          <w:numId w:val="8"/>
        </w:numPr>
        <w:ind w:left="792" w:hanging="505"/>
        <w:outlineLvl w:val="3"/>
        <w:rPr>
          <w:sz w:val="28"/>
        </w:rPr>
      </w:pPr>
      <w:bookmarkStart w:id="17" w:name="_Toc351126738"/>
      <w:r w:rsidRPr="00BB4E8F">
        <w:rPr>
          <w:sz w:val="28"/>
        </w:rPr>
        <w:t>Le choix des unités d’œuvre</w:t>
      </w:r>
      <w:bookmarkEnd w:id="17"/>
    </w:p>
    <w:p w:rsidR="003A0927" w:rsidRPr="00A83B39" w:rsidRDefault="003A0927" w:rsidP="00871107">
      <w:pPr>
        <w:autoSpaceDE w:val="0"/>
        <w:autoSpaceDN w:val="0"/>
        <w:adjustRightInd w:val="0"/>
        <w:rPr>
          <w:sz w:val="24"/>
          <w:szCs w:val="24"/>
        </w:rPr>
      </w:pPr>
      <w:r w:rsidRPr="00A83B39">
        <w:rPr>
          <w:sz w:val="24"/>
          <w:szCs w:val="24"/>
        </w:rPr>
        <w:t>Le choix de l’unité d’œuvre est propre à chaque centre d’analyse. Elle doit avoir un lien le plus étroit possible avec le volume d’activité du centre, et donc avec le montant de ses charges.</w:t>
      </w:r>
    </w:p>
    <w:p w:rsidR="003A0927" w:rsidRPr="00A83B39" w:rsidRDefault="003A0927" w:rsidP="00871107">
      <w:pPr>
        <w:autoSpaceDE w:val="0"/>
        <w:autoSpaceDN w:val="0"/>
        <w:adjustRightInd w:val="0"/>
        <w:rPr>
          <w:sz w:val="24"/>
          <w:szCs w:val="24"/>
        </w:rPr>
      </w:pPr>
    </w:p>
    <w:p w:rsidR="00FD67FA" w:rsidRPr="00A83B39" w:rsidRDefault="003A0927" w:rsidP="00871107">
      <w:pPr>
        <w:autoSpaceDE w:val="0"/>
        <w:autoSpaceDN w:val="0"/>
        <w:adjustRightInd w:val="0"/>
        <w:rPr>
          <w:sz w:val="24"/>
          <w:szCs w:val="24"/>
        </w:rPr>
      </w:pPr>
      <w:r w:rsidRPr="00A83B39">
        <w:rPr>
          <w:sz w:val="24"/>
          <w:szCs w:val="24"/>
        </w:rPr>
        <w:t xml:space="preserve">Exemple </w:t>
      </w:r>
      <w:r w:rsidR="00FD67FA" w:rsidRPr="00A83B39">
        <w:rPr>
          <w:sz w:val="24"/>
          <w:szCs w:val="24"/>
        </w:rPr>
        <w:t xml:space="preserve">: </w:t>
      </w:r>
    </w:p>
    <w:p w:rsidR="00FD67FA" w:rsidRPr="00A83B39" w:rsidRDefault="00FD67FA" w:rsidP="00871107">
      <w:pPr>
        <w:autoSpaceDE w:val="0"/>
        <w:autoSpaceDN w:val="0"/>
        <w:adjustRightInd w:val="0"/>
        <w:rPr>
          <w:sz w:val="24"/>
          <w:szCs w:val="24"/>
        </w:rPr>
      </w:pPr>
      <w:r w:rsidRPr="00A83B39">
        <w:rPr>
          <w:sz w:val="24"/>
          <w:szCs w:val="24"/>
        </w:rPr>
        <w:t>Pour une mutuell</w:t>
      </w:r>
      <w:r w:rsidR="00C121B8" w:rsidRPr="00A83B39">
        <w:rPr>
          <w:sz w:val="24"/>
          <w:szCs w:val="24"/>
        </w:rPr>
        <w:t>e disposant des agréments 1,2 (santé) et 20 (</w:t>
      </w:r>
      <w:r w:rsidRPr="00A83B39">
        <w:rPr>
          <w:sz w:val="24"/>
          <w:szCs w:val="24"/>
        </w:rPr>
        <w:t>vie, décès), on cherche à répartir les charges indirecte</w:t>
      </w:r>
      <w:r w:rsidR="00871107" w:rsidRPr="00A83B39">
        <w:rPr>
          <w:sz w:val="24"/>
          <w:szCs w:val="24"/>
        </w:rPr>
        <w:t>s</w:t>
      </w:r>
      <w:r w:rsidRPr="00A83B39">
        <w:rPr>
          <w:sz w:val="24"/>
          <w:szCs w:val="24"/>
        </w:rPr>
        <w:t xml:space="preserve"> pour obtenir le coût complet de l'activité vie-décès. Les unités d'œuvre qui peuvent être envisagées</w:t>
      </w:r>
      <w:r w:rsidR="00C13C8D" w:rsidRPr="00A83B39">
        <w:rPr>
          <w:sz w:val="24"/>
          <w:szCs w:val="24"/>
        </w:rPr>
        <w:t>, pour les différents services,</w:t>
      </w:r>
      <w:r w:rsidRPr="00A83B39">
        <w:rPr>
          <w:sz w:val="24"/>
          <w:szCs w:val="24"/>
        </w:rPr>
        <w:t xml:space="preserve"> sont</w:t>
      </w:r>
      <w:r w:rsidR="00C13C8D" w:rsidRPr="00A83B39">
        <w:rPr>
          <w:sz w:val="24"/>
          <w:szCs w:val="24"/>
        </w:rPr>
        <w:t xml:space="preserve"> :</w:t>
      </w:r>
    </w:p>
    <w:p w:rsidR="00C13C8D" w:rsidRPr="00A83B39" w:rsidRDefault="00C13C8D" w:rsidP="003A0927">
      <w:pPr>
        <w:autoSpaceDE w:val="0"/>
        <w:autoSpaceDN w:val="0"/>
        <w:adjustRightInd w:val="0"/>
        <w:jc w:val="left"/>
        <w:rPr>
          <w:rFonts w:ascii="TimesNewRoman" w:hAnsi="TimesNewRoman" w:cs="TimesNewRoman"/>
          <w:sz w:val="24"/>
          <w:szCs w:val="24"/>
        </w:rPr>
      </w:pPr>
    </w:p>
    <w:p w:rsidR="003A0927" w:rsidRPr="00A83B39" w:rsidRDefault="00FD67FA"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xml:space="preserve">Plateforme de prospection </w:t>
      </w:r>
      <w:r w:rsidR="003A0927" w:rsidRPr="00A83B39">
        <w:rPr>
          <w:rFonts w:ascii="TimesNewRoman" w:hAnsi="TimesNewRoman" w:cs="TimesNewRoman"/>
          <w:sz w:val="24"/>
          <w:szCs w:val="24"/>
        </w:rPr>
        <w:t>:</w:t>
      </w:r>
      <w:r w:rsidRPr="00A83B39">
        <w:rPr>
          <w:rFonts w:ascii="TimesNewRoman" w:hAnsi="TimesNewRoman" w:cs="TimesNewRoman"/>
          <w:sz w:val="24"/>
          <w:szCs w:val="24"/>
        </w:rPr>
        <w:t xml:space="preserve"> n</w:t>
      </w:r>
      <w:r w:rsidR="00C13C8D" w:rsidRPr="00A83B39">
        <w:rPr>
          <w:rFonts w:ascii="TimesNewRoman" w:hAnsi="TimesNewRoman" w:cs="TimesNewRoman"/>
          <w:sz w:val="24"/>
          <w:szCs w:val="24"/>
        </w:rPr>
        <w:t>ombre d'heures passées au téléphone au sujet des produits d'assurance vie.</w:t>
      </w:r>
    </w:p>
    <w:p w:rsidR="00FD67FA" w:rsidRPr="00A83B39" w:rsidRDefault="00FD67FA"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Service de tarification : nombre de produit</w:t>
      </w:r>
      <w:r w:rsidR="00C13C8D" w:rsidRPr="00A83B39">
        <w:rPr>
          <w:rFonts w:ascii="TimesNewRoman" w:hAnsi="TimesNewRoman" w:cs="TimesNewRoman"/>
          <w:sz w:val="24"/>
          <w:szCs w:val="24"/>
        </w:rPr>
        <w:t>s d'assurance vie créés</w:t>
      </w:r>
    </w:p>
    <w:p w:rsidR="00C13C8D" w:rsidRPr="00A83B39" w:rsidRDefault="00C13C8D"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Service de</w:t>
      </w:r>
      <w:r w:rsidR="003A0927" w:rsidRPr="00A83B39">
        <w:rPr>
          <w:rFonts w:ascii="TimesNewRoman" w:hAnsi="TimesNewRoman" w:cs="TimesNewRoman"/>
          <w:sz w:val="24"/>
          <w:szCs w:val="24"/>
        </w:rPr>
        <w:t xml:space="preserve"> maintenance</w:t>
      </w:r>
      <w:r w:rsidRPr="00A83B39">
        <w:rPr>
          <w:rFonts w:ascii="TimesNewRoman" w:hAnsi="TimesNewRoman" w:cs="TimesNewRoman"/>
          <w:sz w:val="24"/>
          <w:szCs w:val="24"/>
        </w:rPr>
        <w:t xml:space="preserve"> informatique :</w:t>
      </w:r>
      <w:r w:rsidR="003A0927" w:rsidRPr="00A83B39">
        <w:rPr>
          <w:rFonts w:ascii="Wingdings-Regular" w:hAnsi="Wingdings-Regular" w:cs="Wingdings-Regular"/>
          <w:sz w:val="24"/>
          <w:szCs w:val="24"/>
        </w:rPr>
        <w:t xml:space="preserve"> </w:t>
      </w:r>
      <w:r w:rsidR="003A0927" w:rsidRPr="00A83B39">
        <w:rPr>
          <w:rFonts w:ascii="TimesNewRoman" w:hAnsi="TimesNewRoman" w:cs="TimesNewRoman"/>
          <w:sz w:val="24"/>
          <w:szCs w:val="24"/>
        </w:rPr>
        <w:t xml:space="preserve">nombre d’heures d’utilisation des </w:t>
      </w:r>
      <w:r w:rsidRPr="00A83B39">
        <w:rPr>
          <w:rFonts w:ascii="TimesNewRoman" w:hAnsi="TimesNewRoman" w:cs="TimesNewRoman"/>
          <w:sz w:val="24"/>
          <w:szCs w:val="24"/>
        </w:rPr>
        <w:t>PC pour des produits d'assurance vie.</w:t>
      </w:r>
    </w:p>
    <w:p w:rsidR="003A0927" w:rsidRPr="00A83B39" w:rsidRDefault="003A0927" w:rsidP="003A0927">
      <w:pPr>
        <w:autoSpaceDE w:val="0"/>
        <w:autoSpaceDN w:val="0"/>
        <w:adjustRightInd w:val="0"/>
        <w:jc w:val="left"/>
        <w:rPr>
          <w:rFonts w:ascii="TimesNewRoman" w:hAnsi="TimesNewRoman" w:cs="TimesNewRoman"/>
          <w:sz w:val="24"/>
          <w:szCs w:val="24"/>
        </w:rPr>
      </w:pPr>
    </w:p>
    <w:p w:rsidR="005950D3" w:rsidRPr="00BB4E8F" w:rsidRDefault="005950D3" w:rsidP="005950D3">
      <w:pPr>
        <w:numPr>
          <w:ilvl w:val="2"/>
          <w:numId w:val="8"/>
        </w:numPr>
        <w:ind w:hanging="505"/>
        <w:outlineLvl w:val="3"/>
        <w:rPr>
          <w:sz w:val="28"/>
        </w:rPr>
      </w:pPr>
      <w:bookmarkStart w:id="18" w:name="_Toc351126739"/>
      <w:r w:rsidRPr="00BB4E8F">
        <w:rPr>
          <w:sz w:val="28"/>
        </w:rPr>
        <w:t>Centres principaux et centres auxiliaires</w:t>
      </w:r>
      <w:bookmarkEnd w:id="18"/>
    </w:p>
    <w:p w:rsidR="005950D3" w:rsidRPr="00A83B39" w:rsidRDefault="005950D3"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Lors de la mise en œuvre de la méthode des centres d’analyse, certaines charges sont difficiles à répartir de façon pertinente entre les différents produits mais peuvent être réparties entre les autres centres d’analyse.</w:t>
      </w:r>
    </w:p>
    <w:p w:rsidR="005950D3" w:rsidRPr="00A83B39" w:rsidRDefault="005950D3"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C’est le cas par exemple du coût du service « gestion des ressources humaines » : il n’existe pas de clé de répartition pertinente pour répartir son coût entre les différents produits mais il est aisé de répartir son coût entre les différents services de l’entreprise au prorata de leurs effectifs.</w:t>
      </w:r>
    </w:p>
    <w:p w:rsidR="005950D3" w:rsidRPr="00A83B39" w:rsidRDefault="005950D3" w:rsidP="00745725">
      <w:pPr>
        <w:autoSpaceDE w:val="0"/>
        <w:autoSpaceDN w:val="0"/>
        <w:adjustRightInd w:val="0"/>
        <w:rPr>
          <w:rFonts w:ascii="TimesNewRoman" w:hAnsi="TimesNewRoman" w:cs="TimesNewRoman"/>
          <w:sz w:val="24"/>
          <w:szCs w:val="24"/>
        </w:rPr>
      </w:pPr>
    </w:p>
    <w:p w:rsidR="005950D3" w:rsidRPr="00A83B39" w:rsidRDefault="005950D3"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Dans ce cas, on distingue deux types de centres d’analyse :</w:t>
      </w:r>
    </w:p>
    <w:p w:rsidR="005950D3" w:rsidRPr="00A83B39" w:rsidRDefault="005950D3"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les centres principaux dont les charges sont imputées aux produits en fonction des unités d’œuvre</w:t>
      </w:r>
    </w:p>
    <w:p w:rsidR="005950D3" w:rsidRPr="00A83B39" w:rsidRDefault="005950D3"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les centres auxiliaires dont les charges sont transférées aux centres principaux.</w:t>
      </w:r>
    </w:p>
    <w:p w:rsidR="005950D3" w:rsidRPr="00A83B39" w:rsidRDefault="005950D3" w:rsidP="00745725">
      <w:pPr>
        <w:autoSpaceDE w:val="0"/>
        <w:autoSpaceDN w:val="0"/>
        <w:adjustRightInd w:val="0"/>
        <w:rPr>
          <w:rFonts w:ascii="TimesNewRoman" w:hAnsi="TimesNewRoman" w:cs="TimesNewRoman"/>
          <w:sz w:val="24"/>
          <w:szCs w:val="24"/>
        </w:rPr>
      </w:pPr>
    </w:p>
    <w:p w:rsidR="005950D3" w:rsidRPr="00A83B39" w:rsidRDefault="005950D3"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La répartition des charges indirectes se fait en deux étapes :</w:t>
      </w:r>
    </w:p>
    <w:p w:rsidR="005950D3" w:rsidRPr="00A83B39" w:rsidRDefault="005950D3"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xml:space="preserve">- </w:t>
      </w:r>
      <w:r w:rsidRPr="00A83B39">
        <w:rPr>
          <w:rFonts w:ascii="TimesNewRoman" w:hAnsi="TimesNewRoman" w:cs="TimesNewRoman"/>
          <w:b/>
          <w:sz w:val="24"/>
          <w:szCs w:val="24"/>
        </w:rPr>
        <w:t>la répartition primaire</w:t>
      </w:r>
      <w:r w:rsidRPr="00A83B39">
        <w:rPr>
          <w:rFonts w:ascii="TimesNewRoman" w:hAnsi="TimesNewRoman" w:cs="TimesNewRoman"/>
          <w:sz w:val="24"/>
          <w:szCs w:val="24"/>
        </w:rPr>
        <w:t xml:space="preserve"> : les charges indirectes sont réparties entre les différents centres d’analyse (auxiliaires et principaux)</w:t>
      </w:r>
    </w:p>
    <w:p w:rsidR="005950D3" w:rsidRPr="00A83B39" w:rsidRDefault="005950D3"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xml:space="preserve">- </w:t>
      </w:r>
      <w:r w:rsidRPr="00A83B39">
        <w:rPr>
          <w:rFonts w:ascii="TimesNewRoman" w:hAnsi="TimesNewRoman" w:cs="TimesNewRoman"/>
          <w:b/>
          <w:sz w:val="24"/>
          <w:szCs w:val="24"/>
        </w:rPr>
        <w:t>la répartition secondaire</w:t>
      </w:r>
      <w:r w:rsidRPr="00A83B39">
        <w:rPr>
          <w:rFonts w:ascii="TimesNewRoman" w:hAnsi="TimesNewRoman" w:cs="TimesNewRoman"/>
          <w:sz w:val="24"/>
          <w:szCs w:val="24"/>
        </w:rPr>
        <w:t xml:space="preserve"> : les coûts des centres auxiliaires sont répartis entre les différents centres principaux. On dit qu’ils sont « vidés »</w:t>
      </w:r>
    </w:p>
    <w:p w:rsidR="005950D3" w:rsidRPr="00A83B39" w:rsidRDefault="005950D3" w:rsidP="005950D3">
      <w:pPr>
        <w:autoSpaceDE w:val="0"/>
        <w:autoSpaceDN w:val="0"/>
        <w:adjustRightInd w:val="0"/>
        <w:jc w:val="left"/>
        <w:rPr>
          <w:rFonts w:ascii="TimesNewRoman" w:hAnsi="TimesNewRoman" w:cs="TimesNewRoman"/>
          <w:sz w:val="24"/>
          <w:szCs w:val="24"/>
        </w:rPr>
      </w:pPr>
    </w:p>
    <w:p w:rsidR="005950D3" w:rsidRPr="00A83B39" w:rsidRDefault="0004651B" w:rsidP="005950D3">
      <w:pPr>
        <w:autoSpaceDE w:val="0"/>
        <w:autoSpaceDN w:val="0"/>
        <w:adjustRightInd w:val="0"/>
        <w:jc w:val="left"/>
        <w:rPr>
          <w:rFonts w:ascii="TimesNewRoman" w:hAnsi="TimesNewRoman" w:cs="TimesNewRoman"/>
          <w:sz w:val="24"/>
          <w:szCs w:val="24"/>
        </w:rPr>
      </w:pPr>
      <w:r>
        <w:rPr>
          <w:rFonts w:ascii="TimesNewRoman" w:hAnsi="TimesNewRoman" w:cs="TimesNewRoman"/>
          <w:noProof/>
          <w:sz w:val="24"/>
          <w:szCs w:val="24"/>
        </w:rPr>
        <mc:AlternateContent>
          <mc:Choice Requires="wpg">
            <w:drawing>
              <wp:anchor distT="0" distB="0" distL="114300" distR="114300" simplePos="0" relativeHeight="251658752" behindDoc="0" locked="0" layoutInCell="1" allowOverlap="1">
                <wp:simplePos x="0" y="0"/>
                <wp:positionH relativeFrom="column">
                  <wp:posOffset>393065</wp:posOffset>
                </wp:positionH>
                <wp:positionV relativeFrom="paragraph">
                  <wp:posOffset>10795</wp:posOffset>
                </wp:positionV>
                <wp:extent cx="5465445" cy="2729230"/>
                <wp:effectExtent l="12065" t="10795" r="8890" b="1270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2729230"/>
                          <a:chOff x="2036" y="8977"/>
                          <a:chExt cx="8607" cy="4298"/>
                        </a:xfrm>
                      </wpg:grpSpPr>
                      <wps:wsp>
                        <wps:cNvPr id="2" name="AutoShape 20"/>
                        <wps:cNvCnPr>
                          <a:cxnSpLocks noChangeShapeType="1"/>
                        </wps:cNvCnPr>
                        <wps:spPr bwMode="auto">
                          <a:xfrm>
                            <a:off x="2858" y="9463"/>
                            <a:ext cx="5203" cy="341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 name="AutoShape 21"/>
                        <wps:cNvCnPr>
                          <a:cxnSpLocks noChangeShapeType="1"/>
                        </wps:cNvCnPr>
                        <wps:spPr bwMode="auto">
                          <a:xfrm flipH="1">
                            <a:off x="4144" y="12257"/>
                            <a:ext cx="1661" cy="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22"/>
                        <wps:cNvSpPr>
                          <a:spLocks noChangeArrowheads="1"/>
                        </wps:cNvSpPr>
                        <wps:spPr bwMode="auto">
                          <a:xfrm>
                            <a:off x="2036" y="8977"/>
                            <a:ext cx="2076" cy="486"/>
                          </a:xfrm>
                          <a:prstGeom prst="rect">
                            <a:avLst/>
                          </a:prstGeom>
                          <a:solidFill>
                            <a:srgbClr val="FFFFFF"/>
                          </a:solidFill>
                          <a:ln w="9525">
                            <a:solidFill>
                              <a:srgbClr val="000000"/>
                            </a:solidFill>
                            <a:miter lim="800000"/>
                            <a:headEnd/>
                            <a:tailEnd/>
                          </a:ln>
                        </wps:spPr>
                        <wps:txbx>
                          <w:txbxContent>
                            <w:p w:rsidR="00025695" w:rsidRDefault="00025695" w:rsidP="00F53C2C">
                              <w:pPr>
                                <w:jc w:val="center"/>
                              </w:pPr>
                              <w:r>
                                <w:t>Charges directes</w:t>
                              </w:r>
                            </w:p>
                          </w:txbxContent>
                        </wps:txbx>
                        <wps:bodyPr rot="0" vert="horz" wrap="square" lIns="91440" tIns="45720" rIns="91440" bIns="45720" anchor="t" anchorCtr="0" upright="1">
                          <a:noAutofit/>
                        </wps:bodyPr>
                      </wps:wsp>
                      <wps:wsp>
                        <wps:cNvPr id="5" name="Rectangle 23"/>
                        <wps:cNvSpPr>
                          <a:spLocks noChangeArrowheads="1"/>
                        </wps:cNvSpPr>
                        <wps:spPr bwMode="auto">
                          <a:xfrm>
                            <a:off x="4352" y="8977"/>
                            <a:ext cx="5554" cy="486"/>
                          </a:xfrm>
                          <a:prstGeom prst="rect">
                            <a:avLst/>
                          </a:prstGeom>
                          <a:solidFill>
                            <a:srgbClr val="FFFFFF"/>
                          </a:solidFill>
                          <a:ln w="9525">
                            <a:solidFill>
                              <a:srgbClr val="000000"/>
                            </a:solidFill>
                            <a:miter lim="800000"/>
                            <a:headEnd/>
                            <a:tailEnd/>
                          </a:ln>
                        </wps:spPr>
                        <wps:txbx>
                          <w:txbxContent>
                            <w:p w:rsidR="00025695" w:rsidRDefault="00025695" w:rsidP="00F53C2C">
                              <w:pPr>
                                <w:jc w:val="center"/>
                              </w:pPr>
                              <w:r>
                                <w:t>Charges indirectes</w:t>
                              </w:r>
                            </w:p>
                          </w:txbxContent>
                        </wps:txbx>
                        <wps:bodyPr rot="0" vert="horz" wrap="square" lIns="91440" tIns="45720" rIns="91440" bIns="45720" anchor="t" anchorCtr="0" upright="1">
                          <a:noAutofit/>
                        </wps:bodyPr>
                      </wps:wsp>
                      <wps:wsp>
                        <wps:cNvPr id="6" name="Oval 24"/>
                        <wps:cNvSpPr>
                          <a:spLocks noChangeArrowheads="1"/>
                        </wps:cNvSpPr>
                        <wps:spPr bwMode="auto">
                          <a:xfrm>
                            <a:off x="4516" y="11403"/>
                            <a:ext cx="2629" cy="854"/>
                          </a:xfrm>
                          <a:prstGeom prst="ellipse">
                            <a:avLst/>
                          </a:prstGeom>
                          <a:solidFill>
                            <a:srgbClr val="FFFFFF"/>
                          </a:solidFill>
                          <a:ln w="9525">
                            <a:solidFill>
                              <a:srgbClr val="000000"/>
                            </a:solidFill>
                            <a:round/>
                            <a:headEnd/>
                            <a:tailEnd/>
                          </a:ln>
                        </wps:spPr>
                        <wps:txbx>
                          <w:txbxContent>
                            <w:p w:rsidR="00025695" w:rsidRDefault="00025695" w:rsidP="00F53C2C">
                              <w:pPr>
                                <w:jc w:val="center"/>
                              </w:pPr>
                              <w:r>
                                <w:t>Centre principal n°1</w:t>
                              </w:r>
                            </w:p>
                            <w:p w:rsidR="00025695" w:rsidRDefault="00025695" w:rsidP="00F53C2C"/>
                          </w:txbxContent>
                        </wps:txbx>
                        <wps:bodyPr rot="0" vert="horz" wrap="square" lIns="91440" tIns="45720" rIns="91440" bIns="45720" anchor="t" anchorCtr="0" upright="1">
                          <a:noAutofit/>
                        </wps:bodyPr>
                      </wps:wsp>
                      <wps:wsp>
                        <wps:cNvPr id="7" name="Oval 25"/>
                        <wps:cNvSpPr>
                          <a:spLocks noChangeArrowheads="1"/>
                        </wps:cNvSpPr>
                        <wps:spPr bwMode="auto">
                          <a:xfrm>
                            <a:off x="7441" y="11403"/>
                            <a:ext cx="2629" cy="854"/>
                          </a:xfrm>
                          <a:prstGeom prst="ellipse">
                            <a:avLst/>
                          </a:prstGeom>
                          <a:solidFill>
                            <a:srgbClr val="FFFFFF"/>
                          </a:solidFill>
                          <a:ln w="9525">
                            <a:solidFill>
                              <a:srgbClr val="000000"/>
                            </a:solidFill>
                            <a:round/>
                            <a:headEnd/>
                            <a:tailEnd/>
                          </a:ln>
                        </wps:spPr>
                        <wps:txbx>
                          <w:txbxContent>
                            <w:p w:rsidR="00025695" w:rsidRDefault="00025695" w:rsidP="00F53C2C">
                              <w:pPr>
                                <w:jc w:val="center"/>
                              </w:pPr>
                              <w:r>
                                <w:t>Centre principal n°2</w:t>
                              </w:r>
                            </w:p>
                            <w:p w:rsidR="00025695" w:rsidRDefault="00025695" w:rsidP="00F53C2C"/>
                          </w:txbxContent>
                        </wps:txbx>
                        <wps:bodyPr rot="0" vert="horz" wrap="square" lIns="91440" tIns="45720" rIns="91440" bIns="45720" anchor="t" anchorCtr="0" upright="1">
                          <a:noAutofit/>
                        </wps:bodyPr>
                      </wps:wsp>
                      <wps:wsp>
                        <wps:cNvPr id="8" name="AutoShape 26"/>
                        <wps:cNvSpPr>
                          <a:spLocks noChangeArrowheads="1"/>
                        </wps:cNvSpPr>
                        <wps:spPr bwMode="auto">
                          <a:xfrm>
                            <a:off x="2955" y="12877"/>
                            <a:ext cx="2528" cy="398"/>
                          </a:xfrm>
                          <a:prstGeom prst="roundRect">
                            <a:avLst>
                              <a:gd name="adj" fmla="val 16667"/>
                            </a:avLst>
                          </a:prstGeom>
                          <a:solidFill>
                            <a:srgbClr val="FFFFFF"/>
                          </a:solidFill>
                          <a:ln w="9525">
                            <a:solidFill>
                              <a:srgbClr val="000000"/>
                            </a:solidFill>
                            <a:round/>
                            <a:headEnd/>
                            <a:tailEnd/>
                          </a:ln>
                        </wps:spPr>
                        <wps:txbx>
                          <w:txbxContent>
                            <w:p w:rsidR="00025695" w:rsidRDefault="00025695" w:rsidP="00F53C2C">
                              <w:pPr>
                                <w:jc w:val="center"/>
                              </w:pPr>
                              <w:r>
                                <w:t>Produit A</w:t>
                              </w:r>
                            </w:p>
                          </w:txbxContent>
                        </wps:txbx>
                        <wps:bodyPr rot="0" vert="horz" wrap="square" lIns="91440" tIns="45720" rIns="91440" bIns="45720" anchor="t" anchorCtr="0" upright="1">
                          <a:noAutofit/>
                        </wps:bodyPr>
                      </wps:wsp>
                      <wps:wsp>
                        <wps:cNvPr id="9" name="AutoShape 27"/>
                        <wps:cNvSpPr>
                          <a:spLocks noChangeArrowheads="1"/>
                        </wps:cNvSpPr>
                        <wps:spPr bwMode="auto">
                          <a:xfrm>
                            <a:off x="6738" y="12877"/>
                            <a:ext cx="2528" cy="398"/>
                          </a:xfrm>
                          <a:prstGeom prst="roundRect">
                            <a:avLst>
                              <a:gd name="adj" fmla="val 16667"/>
                            </a:avLst>
                          </a:prstGeom>
                          <a:solidFill>
                            <a:srgbClr val="FFFFFF"/>
                          </a:solidFill>
                          <a:ln w="9525">
                            <a:solidFill>
                              <a:srgbClr val="000000"/>
                            </a:solidFill>
                            <a:round/>
                            <a:headEnd/>
                            <a:tailEnd/>
                          </a:ln>
                        </wps:spPr>
                        <wps:txbx>
                          <w:txbxContent>
                            <w:p w:rsidR="00025695" w:rsidRDefault="00025695" w:rsidP="00F53C2C">
                              <w:pPr>
                                <w:jc w:val="center"/>
                              </w:pPr>
                              <w:r>
                                <w:t>Produit B</w:t>
                              </w:r>
                            </w:p>
                          </w:txbxContent>
                        </wps:txbx>
                        <wps:bodyPr rot="0" vert="horz" wrap="square" lIns="91440" tIns="45720" rIns="91440" bIns="45720" anchor="t" anchorCtr="0" upright="1">
                          <a:noAutofit/>
                        </wps:bodyPr>
                      </wps:wsp>
                      <wps:wsp>
                        <wps:cNvPr id="10" name="AutoShape 28"/>
                        <wps:cNvCnPr>
                          <a:cxnSpLocks noChangeShapeType="1"/>
                        </wps:cNvCnPr>
                        <wps:spPr bwMode="auto">
                          <a:xfrm>
                            <a:off x="2858" y="9463"/>
                            <a:ext cx="1286" cy="341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flipH="1">
                            <a:off x="4144" y="12257"/>
                            <a:ext cx="4586" cy="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0"/>
                        <wps:cNvCnPr>
                          <a:cxnSpLocks noChangeShapeType="1"/>
                        </wps:cNvCnPr>
                        <wps:spPr bwMode="auto">
                          <a:xfrm>
                            <a:off x="5805" y="12257"/>
                            <a:ext cx="2256" cy="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1"/>
                        <wps:cNvCnPr>
                          <a:cxnSpLocks noChangeShapeType="1"/>
                        </wps:cNvCnPr>
                        <wps:spPr bwMode="auto">
                          <a:xfrm flipH="1">
                            <a:off x="5147" y="9463"/>
                            <a:ext cx="1902"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2"/>
                        <wps:cNvCnPr>
                          <a:cxnSpLocks noChangeShapeType="1"/>
                        </wps:cNvCnPr>
                        <wps:spPr bwMode="auto">
                          <a:xfrm>
                            <a:off x="7049" y="9463"/>
                            <a:ext cx="2504"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Oval 33"/>
                        <wps:cNvSpPr>
                          <a:spLocks noChangeArrowheads="1"/>
                        </wps:cNvSpPr>
                        <wps:spPr bwMode="auto">
                          <a:xfrm>
                            <a:off x="3980" y="10049"/>
                            <a:ext cx="2221" cy="493"/>
                          </a:xfrm>
                          <a:prstGeom prst="ellipse">
                            <a:avLst/>
                          </a:prstGeom>
                          <a:solidFill>
                            <a:srgbClr val="FFFFFF"/>
                          </a:solidFill>
                          <a:ln w="9525">
                            <a:solidFill>
                              <a:srgbClr val="000000"/>
                            </a:solidFill>
                            <a:round/>
                            <a:headEnd/>
                            <a:tailEnd/>
                          </a:ln>
                        </wps:spPr>
                        <wps:txbx>
                          <w:txbxContent>
                            <w:p w:rsidR="00025695" w:rsidRPr="00F53C2C" w:rsidRDefault="00025695" w:rsidP="00F53C2C">
                              <w:pPr>
                                <w:jc w:val="center"/>
                                <w:rPr>
                                  <w:sz w:val="16"/>
                                </w:rPr>
                              </w:pPr>
                              <w:r w:rsidRPr="00F53C2C">
                                <w:rPr>
                                  <w:sz w:val="16"/>
                                </w:rPr>
                                <w:t>Centre principal n°1</w:t>
                              </w:r>
                            </w:p>
                            <w:p w:rsidR="00025695" w:rsidRPr="00F53C2C" w:rsidRDefault="00025695" w:rsidP="00F53C2C">
                              <w:pPr>
                                <w:rPr>
                                  <w:sz w:val="16"/>
                                </w:rPr>
                              </w:pPr>
                            </w:p>
                          </w:txbxContent>
                        </wps:txbx>
                        <wps:bodyPr rot="0" vert="horz" wrap="square" lIns="91440" tIns="45720" rIns="91440" bIns="45720" anchor="t" anchorCtr="0" upright="1">
                          <a:noAutofit/>
                        </wps:bodyPr>
                      </wps:wsp>
                      <wps:wsp>
                        <wps:cNvPr id="16" name="Oval 34"/>
                        <wps:cNvSpPr>
                          <a:spLocks noChangeArrowheads="1"/>
                        </wps:cNvSpPr>
                        <wps:spPr bwMode="auto">
                          <a:xfrm>
                            <a:off x="6201" y="10049"/>
                            <a:ext cx="2221" cy="493"/>
                          </a:xfrm>
                          <a:prstGeom prst="ellipse">
                            <a:avLst/>
                          </a:prstGeom>
                          <a:solidFill>
                            <a:srgbClr val="FFFFFF"/>
                          </a:solidFill>
                          <a:ln w="9525">
                            <a:solidFill>
                              <a:srgbClr val="000000"/>
                            </a:solidFill>
                            <a:round/>
                            <a:headEnd/>
                            <a:tailEnd/>
                          </a:ln>
                        </wps:spPr>
                        <wps:txbx>
                          <w:txbxContent>
                            <w:p w:rsidR="00025695" w:rsidRPr="00F53C2C" w:rsidRDefault="00025695" w:rsidP="00F53C2C">
                              <w:pPr>
                                <w:jc w:val="center"/>
                                <w:rPr>
                                  <w:sz w:val="16"/>
                                </w:rPr>
                              </w:pPr>
                              <w:r w:rsidRPr="00F53C2C">
                                <w:rPr>
                                  <w:sz w:val="16"/>
                                </w:rPr>
                                <w:t xml:space="preserve">Centre </w:t>
                              </w:r>
                              <w:r>
                                <w:rPr>
                                  <w:sz w:val="16"/>
                                </w:rPr>
                                <w:t>auxiliaire</w:t>
                              </w:r>
                            </w:p>
                            <w:p w:rsidR="00025695" w:rsidRPr="00F53C2C" w:rsidRDefault="00025695" w:rsidP="00F53C2C">
                              <w:pPr>
                                <w:rPr>
                                  <w:sz w:val="16"/>
                                </w:rPr>
                              </w:pPr>
                            </w:p>
                          </w:txbxContent>
                        </wps:txbx>
                        <wps:bodyPr rot="0" vert="horz" wrap="square" lIns="91440" tIns="45720" rIns="91440" bIns="45720" anchor="t" anchorCtr="0" upright="1">
                          <a:noAutofit/>
                        </wps:bodyPr>
                      </wps:wsp>
                      <wps:wsp>
                        <wps:cNvPr id="17" name="Oval 35"/>
                        <wps:cNvSpPr>
                          <a:spLocks noChangeArrowheads="1"/>
                        </wps:cNvSpPr>
                        <wps:spPr bwMode="auto">
                          <a:xfrm>
                            <a:off x="8422" y="10049"/>
                            <a:ext cx="2221" cy="493"/>
                          </a:xfrm>
                          <a:prstGeom prst="ellipse">
                            <a:avLst/>
                          </a:prstGeom>
                          <a:solidFill>
                            <a:srgbClr val="FFFFFF"/>
                          </a:solidFill>
                          <a:ln w="9525">
                            <a:solidFill>
                              <a:srgbClr val="000000"/>
                            </a:solidFill>
                            <a:round/>
                            <a:headEnd/>
                            <a:tailEnd/>
                          </a:ln>
                        </wps:spPr>
                        <wps:txbx>
                          <w:txbxContent>
                            <w:p w:rsidR="00025695" w:rsidRPr="00F53C2C" w:rsidRDefault="00025695" w:rsidP="00F53C2C">
                              <w:pPr>
                                <w:jc w:val="center"/>
                                <w:rPr>
                                  <w:sz w:val="16"/>
                                </w:rPr>
                              </w:pPr>
                              <w:r w:rsidRPr="00F53C2C">
                                <w:rPr>
                                  <w:sz w:val="16"/>
                                </w:rPr>
                                <w:t>Centre principal</w:t>
                              </w:r>
                              <w:r>
                                <w:rPr>
                                  <w:sz w:val="16"/>
                                </w:rPr>
                                <w:t xml:space="preserve"> n°2</w:t>
                              </w:r>
                            </w:p>
                            <w:p w:rsidR="00025695" w:rsidRPr="00F53C2C" w:rsidRDefault="00025695" w:rsidP="00F53C2C">
                              <w:pPr>
                                <w:rPr>
                                  <w:sz w:val="16"/>
                                </w:rPr>
                              </w:pPr>
                            </w:p>
                          </w:txbxContent>
                        </wps:txbx>
                        <wps:bodyPr rot="0" vert="horz" wrap="square" lIns="91440" tIns="45720" rIns="91440" bIns="45720" anchor="t" anchorCtr="0" upright="1">
                          <a:noAutofit/>
                        </wps:bodyPr>
                      </wps:wsp>
                      <wps:wsp>
                        <wps:cNvPr id="18" name="AutoShape 36"/>
                        <wps:cNvCnPr>
                          <a:cxnSpLocks noChangeShapeType="1"/>
                        </wps:cNvCnPr>
                        <wps:spPr bwMode="auto">
                          <a:xfrm>
                            <a:off x="7049" y="9463"/>
                            <a:ext cx="183"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7"/>
                        <wps:cNvCnPr>
                          <a:cxnSpLocks noChangeShapeType="1"/>
                        </wps:cNvCnPr>
                        <wps:spPr bwMode="auto">
                          <a:xfrm>
                            <a:off x="5244" y="10542"/>
                            <a:ext cx="561" cy="8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8"/>
                        <wps:cNvCnPr>
                          <a:cxnSpLocks noChangeShapeType="1"/>
                        </wps:cNvCnPr>
                        <wps:spPr bwMode="auto">
                          <a:xfrm flipH="1">
                            <a:off x="8844" y="10542"/>
                            <a:ext cx="774" cy="8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9"/>
                        <wps:cNvCnPr>
                          <a:cxnSpLocks noChangeShapeType="1"/>
                        </wps:cNvCnPr>
                        <wps:spPr bwMode="auto">
                          <a:xfrm flipH="1">
                            <a:off x="5805" y="10542"/>
                            <a:ext cx="1340" cy="861"/>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0"/>
                        <wps:cNvCnPr>
                          <a:cxnSpLocks noChangeShapeType="1"/>
                        </wps:cNvCnPr>
                        <wps:spPr bwMode="auto">
                          <a:xfrm>
                            <a:off x="7145" y="10542"/>
                            <a:ext cx="1699" cy="861"/>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42" style="position:absolute;margin-left:30.95pt;margin-top:.85pt;width:430.35pt;height:214.9pt;z-index:251658752" coordorigin="2036,8977" coordsize="8607,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">
                <v:shape id="AutoShape 20" o:spid="_x0000_s1043" type="#_x0000_t32" style="position:absolute;left:2858;top:9463;width:5203;height:3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qhMEAAADaAAAADwAAAGRycy9kb3ducmV2LnhtbESPS4vCMBSF9wP+h3AFd2Nq0UGqUVRQ&#10;XInjiLi8Ntc+bG5KE7X+ezMwMMvDeXyc6bw1lXhQ4wrLCgb9CARxanXBmYLjz/pzDMJ5ZI2VZVLw&#10;IgfzWedjiom2T/6mx8FnIoywS1BB7n2dSOnSnAy6vq2Jg3e1jUEfZJNJ3eAzjJtKxlH0JQ0WHAg5&#10;1rTKKb0d7kZBWY3icseb/eWUnS/DZSCVg7NSvW67mIDw1Pr/8F97qxXE8Hsl3AA5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amqEwQAAANoAAAAPAAAAAAAAAAAAAAAA&#10;AKECAABkcnMvZG93bnJldi54bWxQSwUGAAAAAAQABAD5AAAAjwMAAAAA&#10;">
                  <v:stroke dashstyle="dash" endarrow="block"/>
                </v:shape>
                <v:shape id="AutoShape 21" o:spid="_x0000_s1044" type="#_x0000_t32" style="position:absolute;left:4144;top:12257;width:1661;height: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rect id="Rectangle 22" o:spid="_x0000_s1045" style="position:absolute;left:2036;top:8977;width:2076;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25695" w:rsidRDefault="00025695" w:rsidP="00F53C2C">
                        <w:pPr>
                          <w:jc w:val="center"/>
                        </w:pPr>
                        <w:r>
                          <w:t>Charges directes</w:t>
                        </w:r>
                      </w:p>
                    </w:txbxContent>
                  </v:textbox>
                </v:rect>
                <v:rect id="Rectangle 23" o:spid="_x0000_s1046" style="position:absolute;left:4352;top:8977;width:5554;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25695" w:rsidRDefault="00025695" w:rsidP="00F53C2C">
                        <w:pPr>
                          <w:jc w:val="center"/>
                        </w:pPr>
                        <w:r>
                          <w:t>Charges indirectes</w:t>
                        </w:r>
                      </w:p>
                    </w:txbxContent>
                  </v:textbox>
                </v:rect>
                <v:oval id="Oval 24" o:spid="_x0000_s1047" style="position:absolute;left:4516;top:11403;width:2629;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025695" w:rsidRDefault="00025695" w:rsidP="00F53C2C">
                        <w:pPr>
                          <w:jc w:val="center"/>
                        </w:pPr>
                        <w:r>
                          <w:t>Centre principal n°1</w:t>
                        </w:r>
                      </w:p>
                      <w:p w:rsidR="00025695" w:rsidRDefault="00025695" w:rsidP="00F53C2C"/>
                    </w:txbxContent>
                  </v:textbox>
                </v:oval>
                <v:oval id="Oval 25" o:spid="_x0000_s1048" style="position:absolute;left:7441;top:11403;width:2629;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025695" w:rsidRDefault="00025695" w:rsidP="00F53C2C">
                        <w:pPr>
                          <w:jc w:val="center"/>
                        </w:pPr>
                        <w:r>
                          <w:t>Centre principal n°2</w:t>
                        </w:r>
                      </w:p>
                      <w:p w:rsidR="00025695" w:rsidRDefault="00025695" w:rsidP="00F53C2C"/>
                    </w:txbxContent>
                  </v:textbox>
                </v:oval>
                <v:roundrect id="AutoShape 26" o:spid="_x0000_s1049" style="position:absolute;left:2955;top:12877;width:2528;height:3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025695" w:rsidRDefault="00025695" w:rsidP="00F53C2C">
                        <w:pPr>
                          <w:jc w:val="center"/>
                        </w:pPr>
                        <w:r>
                          <w:t>Produit A</w:t>
                        </w:r>
                      </w:p>
                    </w:txbxContent>
                  </v:textbox>
                </v:roundrect>
                <v:roundrect id="AutoShape 27" o:spid="_x0000_s1050" style="position:absolute;left:6738;top:12877;width:2528;height:3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025695" w:rsidRDefault="00025695" w:rsidP="00F53C2C">
                        <w:pPr>
                          <w:jc w:val="center"/>
                        </w:pPr>
                        <w:r>
                          <w:t>Produit B</w:t>
                        </w:r>
                      </w:p>
                    </w:txbxContent>
                  </v:textbox>
                </v:roundrect>
                <v:shape id="AutoShape 28" o:spid="_x0000_s1051" type="#_x0000_t32" style="position:absolute;left:2858;top:9463;width:1286;height:3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CIsMAAADbAAAADwAAAGRycy9kb3ducmV2LnhtbESPTWvCQBCG74X+h2UKvdVNQpUSXcUW&#10;FE9SbSkex+yYD7OzIbtq+u87h4K3Geb9eGa2GFyrrtSH2rOBdJSAIi68rbk08P21enkDFSKyxdYz&#10;GfilAIv548MMc+tvvKPrPpZKQjjkaKCKscu1DkVFDsPId8RyO/neYZS1L7Xt8SbhrtVZkky0w5ql&#10;ocKOPioqzvuLM9C046zZ8vrz+FMejq/v0tSkB2Oen4blFFSkId7F/+6NFXyhl19kAD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OwiLDAAAA2wAAAA8AAAAAAAAAAAAA&#10;AAAAoQIAAGRycy9kb3ducmV2LnhtbFBLBQYAAAAABAAEAPkAAACRAwAAAAA=&#10;">
                  <v:stroke dashstyle="dash" endarrow="block"/>
                </v:shape>
                <v:shape id="AutoShape 29" o:spid="_x0000_s1052" type="#_x0000_t32" style="position:absolute;left:4144;top:12257;width:4586;height: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30" o:spid="_x0000_s1053" type="#_x0000_t32" style="position:absolute;left:5805;top:12257;width:2256;height: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1" o:spid="_x0000_s1054" type="#_x0000_t32" style="position:absolute;left:5147;top:9463;width:1902;height:5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32" o:spid="_x0000_s1055" type="#_x0000_t32" style="position:absolute;left:7049;top:9463;width:2504;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oval id="Oval 33" o:spid="_x0000_s1056" style="position:absolute;left:3980;top:10049;width:222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025695" w:rsidRPr="00F53C2C" w:rsidRDefault="00025695" w:rsidP="00F53C2C">
                        <w:pPr>
                          <w:jc w:val="center"/>
                          <w:rPr>
                            <w:sz w:val="16"/>
                          </w:rPr>
                        </w:pPr>
                        <w:r w:rsidRPr="00F53C2C">
                          <w:rPr>
                            <w:sz w:val="16"/>
                          </w:rPr>
                          <w:t>Centre principal n°1</w:t>
                        </w:r>
                      </w:p>
                      <w:p w:rsidR="00025695" w:rsidRPr="00F53C2C" w:rsidRDefault="00025695" w:rsidP="00F53C2C">
                        <w:pPr>
                          <w:rPr>
                            <w:sz w:val="16"/>
                          </w:rPr>
                        </w:pPr>
                      </w:p>
                    </w:txbxContent>
                  </v:textbox>
                </v:oval>
                <v:oval id="Oval 34" o:spid="_x0000_s1057" style="position:absolute;left:6201;top:10049;width:222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025695" w:rsidRPr="00F53C2C" w:rsidRDefault="00025695" w:rsidP="00F53C2C">
                        <w:pPr>
                          <w:jc w:val="center"/>
                          <w:rPr>
                            <w:sz w:val="16"/>
                          </w:rPr>
                        </w:pPr>
                        <w:r w:rsidRPr="00F53C2C">
                          <w:rPr>
                            <w:sz w:val="16"/>
                          </w:rPr>
                          <w:t xml:space="preserve">Centre </w:t>
                        </w:r>
                        <w:r>
                          <w:rPr>
                            <w:sz w:val="16"/>
                          </w:rPr>
                          <w:t>auxiliaire</w:t>
                        </w:r>
                      </w:p>
                      <w:p w:rsidR="00025695" w:rsidRPr="00F53C2C" w:rsidRDefault="00025695" w:rsidP="00F53C2C">
                        <w:pPr>
                          <w:rPr>
                            <w:sz w:val="16"/>
                          </w:rPr>
                        </w:pPr>
                      </w:p>
                    </w:txbxContent>
                  </v:textbox>
                </v:oval>
                <v:oval id="Oval 35" o:spid="_x0000_s1058" style="position:absolute;left:8422;top:10049;width:222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025695" w:rsidRPr="00F53C2C" w:rsidRDefault="00025695" w:rsidP="00F53C2C">
                        <w:pPr>
                          <w:jc w:val="center"/>
                          <w:rPr>
                            <w:sz w:val="16"/>
                          </w:rPr>
                        </w:pPr>
                        <w:r w:rsidRPr="00F53C2C">
                          <w:rPr>
                            <w:sz w:val="16"/>
                          </w:rPr>
                          <w:t>Centre principal</w:t>
                        </w:r>
                        <w:r>
                          <w:rPr>
                            <w:sz w:val="16"/>
                          </w:rPr>
                          <w:t xml:space="preserve"> n°2</w:t>
                        </w:r>
                      </w:p>
                      <w:p w:rsidR="00025695" w:rsidRPr="00F53C2C" w:rsidRDefault="00025695" w:rsidP="00F53C2C">
                        <w:pPr>
                          <w:rPr>
                            <w:sz w:val="16"/>
                          </w:rPr>
                        </w:pPr>
                      </w:p>
                    </w:txbxContent>
                  </v:textbox>
                </v:oval>
                <v:shape id="AutoShape 36" o:spid="_x0000_s1059" type="#_x0000_t32" style="position:absolute;left:7049;top:9463;width:183;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37" o:spid="_x0000_s1060" type="#_x0000_t32" style="position:absolute;left:5244;top:10542;width:561;height: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38" o:spid="_x0000_s1061" type="#_x0000_t32" style="position:absolute;left:8844;top:10542;width:774;height:8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39" o:spid="_x0000_s1062" type="#_x0000_t32" style="position:absolute;left:5805;top:10542;width:1340;height:8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AEMUAAADbAAAADwAAAGRycy9kb3ducmV2LnhtbESPT2vCQBTE7wW/w/KE3uomHqRGV1Fp&#10;sQVL8Q94fWafSTT7NmTXJH57Vyj0OMzMb5jpvDOlaKh2hWUF8SACQZxaXXCm4LD/fHsH4TyyxtIy&#10;KbiTg/ms9zLFRNuWt9TsfCYChF2CCnLvq0RKl+Zk0A1sRRy8s60N+iDrTOoa2wA3pRxG0UgaLDgs&#10;5FjRKqf0ursZBbRZLlbf44v/OR3bj9u4auLftVTqtd8tJiA8df4//Nf+0gqGMTy/hB8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gAEMUAAADbAAAADwAAAAAAAAAA&#10;AAAAAAChAgAAZHJzL2Rvd25yZXYueG1sUEsFBgAAAAAEAAQA+QAAAJMDAAAAAA==&#10;" strokecolor="red" strokeweight="1.25pt">
                  <v:stroke endarrow="block"/>
                </v:shape>
                <v:shape id="AutoShape 40" o:spid="_x0000_s1063" type="#_x0000_t32" style="position:absolute;left:7145;top:10542;width:1699;height: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REcUAAADbAAAADwAAAGRycy9kb3ducmV2LnhtbESPzWrDMBCE74G8g9hAL6GR45SQuJFN&#10;KBR6sA9NSqG3xdrYptbKWKp/3r4KFHocZuYb5pRNphUD9a6xrGC7iUAQl1Y3XCn4uL4+HkA4j6yx&#10;tUwKZnKQpcvFCRNtR36n4eIrESDsElRQe98lUrqyJoNuYzvi4N1sb9AH2VdS9zgGuGllHEV7abDh&#10;sFBjRy81ld+XH6NgoK+yyu1hvys+p6vNn45rPxdKPaym8zMIT5P/D/+137SCOIb7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REcUAAADbAAAADwAAAAAAAAAA&#10;AAAAAAChAgAAZHJzL2Rvd25yZXYueG1sUEsFBgAAAAAEAAQA+QAAAJMDAAAAAA==&#10;" strokecolor="red" strokeweight="1.25pt">
                  <v:stroke endarrow="block"/>
                </v:shape>
              </v:group>
            </w:pict>
          </mc:Fallback>
        </mc:AlternateContent>
      </w:r>
    </w:p>
    <w:p w:rsidR="00F53C2C" w:rsidRPr="00A83B39" w:rsidRDefault="00F53C2C" w:rsidP="005950D3">
      <w:pPr>
        <w:autoSpaceDE w:val="0"/>
        <w:autoSpaceDN w:val="0"/>
        <w:adjustRightInd w:val="0"/>
        <w:jc w:val="left"/>
        <w:rPr>
          <w:rFonts w:ascii="TimesNewRoman" w:hAnsi="TimesNewRoman" w:cs="TimesNewRoman"/>
          <w:sz w:val="24"/>
          <w:szCs w:val="24"/>
        </w:rPr>
      </w:pPr>
    </w:p>
    <w:p w:rsidR="00F53C2C" w:rsidRPr="00A83B39" w:rsidRDefault="00F53C2C" w:rsidP="005950D3">
      <w:pPr>
        <w:autoSpaceDE w:val="0"/>
        <w:autoSpaceDN w:val="0"/>
        <w:adjustRightInd w:val="0"/>
        <w:jc w:val="left"/>
        <w:rPr>
          <w:rFonts w:ascii="TimesNewRoman" w:hAnsi="TimesNewRoman" w:cs="TimesNewRoman"/>
          <w:sz w:val="24"/>
          <w:szCs w:val="24"/>
        </w:rPr>
      </w:pPr>
    </w:p>
    <w:p w:rsidR="00F53C2C" w:rsidRPr="00A83B39" w:rsidRDefault="00F53C2C" w:rsidP="005950D3">
      <w:pPr>
        <w:autoSpaceDE w:val="0"/>
        <w:autoSpaceDN w:val="0"/>
        <w:adjustRightInd w:val="0"/>
        <w:jc w:val="left"/>
        <w:rPr>
          <w:rFonts w:ascii="TimesNewRoman" w:hAnsi="TimesNewRoman" w:cs="TimesNewRoman"/>
          <w:sz w:val="24"/>
          <w:szCs w:val="24"/>
        </w:rPr>
      </w:pPr>
    </w:p>
    <w:p w:rsidR="00F53C2C" w:rsidRPr="00A83B39" w:rsidRDefault="00F53C2C" w:rsidP="005950D3">
      <w:pPr>
        <w:autoSpaceDE w:val="0"/>
        <w:autoSpaceDN w:val="0"/>
        <w:adjustRightInd w:val="0"/>
        <w:jc w:val="left"/>
        <w:rPr>
          <w:rFonts w:ascii="TimesNewRoman" w:hAnsi="TimesNewRoman" w:cs="TimesNewRoman"/>
          <w:sz w:val="24"/>
          <w:szCs w:val="24"/>
        </w:rPr>
      </w:pPr>
    </w:p>
    <w:p w:rsidR="00F53C2C" w:rsidRPr="00A83B39" w:rsidRDefault="00F53C2C" w:rsidP="005950D3">
      <w:pPr>
        <w:autoSpaceDE w:val="0"/>
        <w:autoSpaceDN w:val="0"/>
        <w:adjustRightInd w:val="0"/>
        <w:jc w:val="left"/>
        <w:rPr>
          <w:rFonts w:ascii="TimesNewRoman" w:hAnsi="TimesNewRoman" w:cs="TimesNewRoman"/>
          <w:sz w:val="24"/>
          <w:szCs w:val="24"/>
        </w:rPr>
      </w:pPr>
    </w:p>
    <w:p w:rsidR="00F53C2C" w:rsidRPr="00A83B39" w:rsidRDefault="00F53C2C" w:rsidP="005950D3">
      <w:pPr>
        <w:autoSpaceDE w:val="0"/>
        <w:autoSpaceDN w:val="0"/>
        <w:adjustRightInd w:val="0"/>
        <w:jc w:val="left"/>
        <w:rPr>
          <w:rFonts w:ascii="TimesNewRoman" w:hAnsi="TimesNewRoman" w:cs="TimesNewRoman"/>
          <w:sz w:val="24"/>
          <w:szCs w:val="24"/>
        </w:rPr>
      </w:pPr>
    </w:p>
    <w:p w:rsidR="00F53C2C" w:rsidRPr="00A83B39" w:rsidRDefault="00F53C2C" w:rsidP="005950D3">
      <w:pPr>
        <w:autoSpaceDE w:val="0"/>
        <w:autoSpaceDN w:val="0"/>
        <w:adjustRightInd w:val="0"/>
        <w:jc w:val="left"/>
        <w:rPr>
          <w:rFonts w:ascii="TimesNewRoman" w:hAnsi="TimesNewRoman" w:cs="TimesNewRoman"/>
          <w:sz w:val="24"/>
          <w:szCs w:val="24"/>
        </w:rPr>
      </w:pPr>
    </w:p>
    <w:p w:rsidR="00F53C2C" w:rsidRPr="00A83B39" w:rsidRDefault="00F53C2C" w:rsidP="005950D3">
      <w:pPr>
        <w:autoSpaceDE w:val="0"/>
        <w:autoSpaceDN w:val="0"/>
        <w:adjustRightInd w:val="0"/>
        <w:jc w:val="left"/>
        <w:rPr>
          <w:rFonts w:ascii="TimesNewRoman" w:hAnsi="TimesNewRoman" w:cs="TimesNewRoman"/>
          <w:sz w:val="24"/>
          <w:szCs w:val="24"/>
        </w:rPr>
      </w:pPr>
    </w:p>
    <w:p w:rsidR="00F53C2C" w:rsidRPr="00A83B39" w:rsidRDefault="00F53C2C" w:rsidP="005950D3">
      <w:pPr>
        <w:autoSpaceDE w:val="0"/>
        <w:autoSpaceDN w:val="0"/>
        <w:adjustRightInd w:val="0"/>
        <w:jc w:val="left"/>
        <w:rPr>
          <w:rFonts w:ascii="TimesNewRoman" w:hAnsi="TimesNewRoman" w:cs="TimesNewRoman"/>
          <w:sz w:val="24"/>
          <w:szCs w:val="24"/>
        </w:rPr>
      </w:pPr>
    </w:p>
    <w:p w:rsidR="00F53C2C" w:rsidRPr="00A83B39" w:rsidRDefault="00F53C2C" w:rsidP="005950D3">
      <w:pPr>
        <w:autoSpaceDE w:val="0"/>
        <w:autoSpaceDN w:val="0"/>
        <w:adjustRightInd w:val="0"/>
        <w:jc w:val="left"/>
        <w:rPr>
          <w:rFonts w:ascii="TimesNewRoman" w:hAnsi="TimesNewRoman" w:cs="TimesNewRoman"/>
          <w:sz w:val="24"/>
          <w:szCs w:val="24"/>
        </w:rPr>
      </w:pPr>
    </w:p>
    <w:p w:rsidR="00F53C2C" w:rsidRPr="00A83B39" w:rsidRDefault="00F53C2C" w:rsidP="005950D3">
      <w:pPr>
        <w:autoSpaceDE w:val="0"/>
        <w:autoSpaceDN w:val="0"/>
        <w:adjustRightInd w:val="0"/>
        <w:jc w:val="left"/>
        <w:rPr>
          <w:rFonts w:ascii="TimesNewRoman" w:hAnsi="TimesNewRoman" w:cs="TimesNewRoman"/>
          <w:sz w:val="24"/>
          <w:szCs w:val="24"/>
        </w:rPr>
      </w:pPr>
    </w:p>
    <w:p w:rsidR="005950D3" w:rsidRPr="00A83B39" w:rsidRDefault="005950D3" w:rsidP="005950D3">
      <w:pPr>
        <w:autoSpaceDE w:val="0"/>
        <w:autoSpaceDN w:val="0"/>
        <w:adjustRightInd w:val="0"/>
        <w:jc w:val="left"/>
        <w:rPr>
          <w:rFonts w:ascii="TimesNewRoman" w:hAnsi="TimesNewRoman" w:cs="TimesNewRoman"/>
          <w:b/>
          <w:color w:val="FF0000"/>
          <w:sz w:val="24"/>
          <w:szCs w:val="24"/>
        </w:rPr>
      </w:pPr>
    </w:p>
    <w:p w:rsidR="00F53C2C" w:rsidRPr="00A83B39" w:rsidRDefault="00F53C2C" w:rsidP="005950D3">
      <w:pPr>
        <w:autoSpaceDE w:val="0"/>
        <w:autoSpaceDN w:val="0"/>
        <w:adjustRightInd w:val="0"/>
        <w:jc w:val="left"/>
        <w:rPr>
          <w:rFonts w:ascii="TimesNewRoman" w:hAnsi="TimesNewRoman" w:cs="TimesNewRoman"/>
          <w:b/>
          <w:color w:val="FF0000"/>
          <w:sz w:val="24"/>
          <w:szCs w:val="24"/>
        </w:rPr>
      </w:pPr>
    </w:p>
    <w:p w:rsidR="00F53C2C" w:rsidRPr="00A83B39" w:rsidRDefault="00F53C2C" w:rsidP="005950D3">
      <w:pPr>
        <w:autoSpaceDE w:val="0"/>
        <w:autoSpaceDN w:val="0"/>
        <w:adjustRightInd w:val="0"/>
        <w:jc w:val="left"/>
        <w:rPr>
          <w:rFonts w:ascii="TimesNewRoman" w:hAnsi="TimesNewRoman" w:cs="TimesNewRoman"/>
          <w:b/>
          <w:color w:val="FF0000"/>
          <w:sz w:val="24"/>
          <w:szCs w:val="24"/>
        </w:rPr>
      </w:pPr>
    </w:p>
    <w:p w:rsidR="00D1431E" w:rsidRPr="00A83B39" w:rsidRDefault="00D1431E" w:rsidP="005950D3">
      <w:pPr>
        <w:autoSpaceDE w:val="0"/>
        <w:autoSpaceDN w:val="0"/>
        <w:adjustRightInd w:val="0"/>
        <w:jc w:val="left"/>
        <w:rPr>
          <w:rFonts w:ascii="TimesNewRoman" w:hAnsi="TimesNewRoman" w:cs="TimesNewRoman"/>
          <w:b/>
          <w:color w:val="FF0000"/>
          <w:sz w:val="24"/>
          <w:szCs w:val="24"/>
        </w:rPr>
      </w:pPr>
    </w:p>
    <w:p w:rsidR="00D1431E" w:rsidRPr="00A83B39" w:rsidRDefault="00D1431E" w:rsidP="005950D3">
      <w:pPr>
        <w:autoSpaceDE w:val="0"/>
        <w:autoSpaceDN w:val="0"/>
        <w:adjustRightInd w:val="0"/>
        <w:jc w:val="left"/>
        <w:rPr>
          <w:rFonts w:ascii="TimesNewRoman" w:hAnsi="TimesNewRoman" w:cs="TimesNewRoman"/>
          <w:b/>
          <w:color w:val="FF0000"/>
          <w:sz w:val="24"/>
          <w:szCs w:val="24"/>
        </w:rPr>
      </w:pPr>
    </w:p>
    <w:p w:rsidR="00F53C2C" w:rsidRPr="00A83B39" w:rsidRDefault="00F53C2C" w:rsidP="005950D3">
      <w:pPr>
        <w:autoSpaceDE w:val="0"/>
        <w:autoSpaceDN w:val="0"/>
        <w:adjustRightInd w:val="0"/>
        <w:jc w:val="left"/>
        <w:rPr>
          <w:rFonts w:ascii="TimesNewRoman" w:hAnsi="TimesNewRoman" w:cs="TimesNewRoman"/>
          <w:sz w:val="24"/>
          <w:szCs w:val="24"/>
        </w:rPr>
      </w:pPr>
    </w:p>
    <w:p w:rsidR="00A55942" w:rsidRPr="00A83B39" w:rsidRDefault="00A55942" w:rsidP="00826E93">
      <w:pPr>
        <w:numPr>
          <w:ilvl w:val="2"/>
          <w:numId w:val="8"/>
        </w:numPr>
        <w:ind w:left="1225" w:hanging="505"/>
        <w:outlineLvl w:val="3"/>
        <w:rPr>
          <w:sz w:val="28"/>
        </w:rPr>
      </w:pPr>
      <w:bookmarkStart w:id="19" w:name="_Toc351126740"/>
      <w:r w:rsidRPr="00A83B39">
        <w:rPr>
          <w:sz w:val="28"/>
        </w:rPr>
        <w:t>Les prestations croisées</w:t>
      </w:r>
      <w:bookmarkEnd w:id="19"/>
    </w:p>
    <w:p w:rsidR="00A55942" w:rsidRPr="00A83B39" w:rsidRDefault="00A55942" w:rsidP="00A55942">
      <w:pPr>
        <w:ind w:left="1224"/>
        <w:rPr>
          <w:sz w:val="28"/>
        </w:rPr>
      </w:pPr>
    </w:p>
    <w:p w:rsidR="00D1431E" w:rsidRPr="00A83B39" w:rsidRDefault="00A55942"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La répartition secondaire peut être compliquée par l’existence de prestat</w:t>
      </w:r>
      <w:r w:rsidR="00401785" w:rsidRPr="00A83B39">
        <w:rPr>
          <w:rFonts w:ascii="TimesNewRoman" w:hAnsi="TimesNewRoman" w:cs="TimesNewRoman"/>
          <w:sz w:val="24"/>
          <w:szCs w:val="24"/>
        </w:rPr>
        <w:t xml:space="preserve">ions croisées. </w:t>
      </w:r>
    </w:p>
    <w:p w:rsidR="005950D3" w:rsidRPr="00A83B39" w:rsidRDefault="00401785"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xml:space="preserve">Par exemple : le </w:t>
      </w:r>
      <w:r w:rsidR="00A55942" w:rsidRPr="00A83B39">
        <w:rPr>
          <w:rFonts w:ascii="TimesNewRoman" w:hAnsi="TimesNewRoman" w:cs="TimesNewRoman"/>
          <w:sz w:val="24"/>
          <w:szCs w:val="24"/>
        </w:rPr>
        <w:t xml:space="preserve">centre « maintenance » cède des charges au centre « transport » (les </w:t>
      </w:r>
      <w:r w:rsidRPr="00A83B39">
        <w:rPr>
          <w:rFonts w:ascii="TimesNewRoman" w:hAnsi="TimesNewRoman" w:cs="TimesNewRoman"/>
          <w:sz w:val="24"/>
          <w:szCs w:val="24"/>
        </w:rPr>
        <w:t xml:space="preserve">employés du service maintenance </w:t>
      </w:r>
      <w:r w:rsidR="00A55942" w:rsidRPr="00A83B39">
        <w:rPr>
          <w:rFonts w:ascii="TimesNewRoman" w:hAnsi="TimesNewRoman" w:cs="TimesNewRoman"/>
          <w:sz w:val="24"/>
          <w:szCs w:val="24"/>
        </w:rPr>
        <w:t xml:space="preserve">assurent l’entretien des véhicules) mais </w:t>
      </w:r>
      <w:r w:rsidRPr="00A83B39">
        <w:rPr>
          <w:rFonts w:ascii="TimesNewRoman" w:hAnsi="TimesNewRoman" w:cs="TimesNewRoman"/>
          <w:sz w:val="24"/>
          <w:szCs w:val="24"/>
        </w:rPr>
        <w:t xml:space="preserve">en reçoit également (le service </w:t>
      </w:r>
      <w:r w:rsidR="00A55942" w:rsidRPr="00A83B39">
        <w:rPr>
          <w:rFonts w:ascii="TimesNewRoman" w:hAnsi="TimesNewRoman" w:cs="TimesNewRoman"/>
          <w:sz w:val="24"/>
          <w:szCs w:val="24"/>
        </w:rPr>
        <w:t>transport assure</w:t>
      </w:r>
      <w:r w:rsidRPr="00A83B39">
        <w:rPr>
          <w:rFonts w:ascii="TimesNewRoman" w:hAnsi="TimesNewRoman" w:cs="TimesNewRoman"/>
          <w:sz w:val="24"/>
          <w:szCs w:val="24"/>
        </w:rPr>
        <w:t xml:space="preserve"> </w:t>
      </w:r>
      <w:r w:rsidR="00A55942" w:rsidRPr="00A83B39">
        <w:rPr>
          <w:rFonts w:ascii="TimesNewRoman" w:hAnsi="TimesNewRoman" w:cs="TimesNewRoman"/>
          <w:sz w:val="24"/>
          <w:szCs w:val="24"/>
        </w:rPr>
        <w:t>l’approvisionnement en pièces détachées nécessaires aux réparations).</w:t>
      </w:r>
      <w:r w:rsidRPr="00A83B39">
        <w:rPr>
          <w:rFonts w:ascii="TimesNewRoman" w:hAnsi="TimesNewRoman" w:cs="TimesNewRoman"/>
          <w:sz w:val="24"/>
          <w:szCs w:val="24"/>
        </w:rPr>
        <w:t xml:space="preserve"> </w:t>
      </w:r>
      <w:r w:rsidR="00A55942" w:rsidRPr="00A83B39">
        <w:rPr>
          <w:rFonts w:ascii="TimesNewRoman" w:hAnsi="TimesNewRoman" w:cs="TimesNewRoman"/>
          <w:sz w:val="24"/>
          <w:szCs w:val="24"/>
        </w:rPr>
        <w:t>Dans ce cas, il n’est pas possible de procéder à la répartition des charges d’</w:t>
      </w:r>
      <w:r w:rsidRPr="00A83B39">
        <w:rPr>
          <w:rFonts w:ascii="TimesNewRoman" w:hAnsi="TimesNewRoman" w:cs="TimesNewRoman"/>
          <w:sz w:val="24"/>
          <w:szCs w:val="24"/>
        </w:rPr>
        <w:t xml:space="preserve">un centre indépendamment de </w:t>
      </w:r>
      <w:r w:rsidR="00A55942" w:rsidRPr="00A83B39">
        <w:rPr>
          <w:rFonts w:ascii="TimesNewRoman" w:hAnsi="TimesNewRoman" w:cs="TimesNewRoman"/>
          <w:sz w:val="24"/>
          <w:szCs w:val="24"/>
        </w:rPr>
        <w:t>l’autre car à chaque fois qu’un centre auxiliaire est vidé, un autre est rempli.</w:t>
      </w:r>
    </w:p>
    <w:p w:rsidR="00401785" w:rsidRPr="00A83B39" w:rsidRDefault="00401785" w:rsidP="00401785">
      <w:pPr>
        <w:jc w:val="left"/>
        <w:rPr>
          <w:rFonts w:ascii="TimesNewRoman" w:hAnsi="TimesNewRoman" w:cs="TimesNewRoman"/>
          <w:sz w:val="24"/>
          <w:szCs w:val="24"/>
        </w:rPr>
      </w:pPr>
    </w:p>
    <w:p w:rsidR="00922B37" w:rsidRPr="00A83B39" w:rsidRDefault="00401785"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xml:space="preserve">Exemple : </w:t>
      </w:r>
    </w:p>
    <w:p w:rsidR="000B2A58" w:rsidRPr="00A83B39" w:rsidRDefault="000B2A58" w:rsidP="00745725">
      <w:pPr>
        <w:autoSpaceDE w:val="0"/>
        <w:autoSpaceDN w:val="0"/>
        <w:adjustRightInd w:val="0"/>
        <w:rPr>
          <w:rFonts w:ascii="TimesNewRoman" w:hAnsi="TimesNewRoman" w:cs="TimesNewRoman"/>
          <w:sz w:val="24"/>
          <w:szCs w:val="24"/>
        </w:rPr>
      </w:pPr>
    </w:p>
    <w:p w:rsidR="00B13495" w:rsidRPr="00A83B39" w:rsidRDefault="00922B37"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A</w:t>
      </w:r>
      <w:r w:rsidR="00401785" w:rsidRPr="00A83B39">
        <w:rPr>
          <w:rFonts w:ascii="TimesNewRoman" w:hAnsi="TimesNewRoman" w:cs="TimesNewRoman"/>
          <w:sz w:val="24"/>
          <w:szCs w:val="24"/>
        </w:rPr>
        <w:t xml:space="preserve"> l’issue de la répartition primaire, les charges des centres «</w:t>
      </w:r>
      <w:r w:rsidR="00B13495" w:rsidRPr="00A83B39">
        <w:rPr>
          <w:rFonts w:ascii="TimesNewRoman" w:hAnsi="TimesNewRoman" w:cs="TimesNewRoman"/>
          <w:sz w:val="24"/>
          <w:szCs w:val="24"/>
        </w:rPr>
        <w:t>maintenance</w:t>
      </w:r>
      <w:r w:rsidR="00401785" w:rsidRPr="00A83B39">
        <w:rPr>
          <w:rFonts w:ascii="TimesNewRoman" w:hAnsi="TimesNewRoman" w:cs="TimesNewRoman"/>
          <w:sz w:val="24"/>
          <w:szCs w:val="24"/>
        </w:rPr>
        <w:t>»</w:t>
      </w:r>
      <w:r w:rsidR="005C192B" w:rsidRPr="00A83B39">
        <w:rPr>
          <w:rFonts w:ascii="TimesNewRoman" w:hAnsi="TimesNewRoman" w:cs="TimesNewRoman"/>
          <w:sz w:val="24"/>
          <w:szCs w:val="24"/>
        </w:rPr>
        <w:t xml:space="preserve"> (M)</w:t>
      </w:r>
      <w:r w:rsidR="00B13495" w:rsidRPr="00A83B39">
        <w:rPr>
          <w:rFonts w:ascii="TimesNewRoman" w:hAnsi="TimesNewRoman" w:cs="TimesNewRoman"/>
          <w:sz w:val="24"/>
          <w:szCs w:val="24"/>
        </w:rPr>
        <w:t xml:space="preserve"> et «transport</w:t>
      </w:r>
      <w:r w:rsidR="00401785" w:rsidRPr="00A83B39">
        <w:rPr>
          <w:rFonts w:ascii="TimesNewRoman" w:hAnsi="TimesNewRoman" w:cs="TimesNewRoman"/>
          <w:sz w:val="24"/>
          <w:szCs w:val="24"/>
        </w:rPr>
        <w:t>»</w:t>
      </w:r>
      <w:r w:rsidR="005C192B" w:rsidRPr="00A83B39">
        <w:rPr>
          <w:rFonts w:ascii="TimesNewRoman" w:hAnsi="TimesNewRoman" w:cs="TimesNewRoman"/>
          <w:sz w:val="24"/>
          <w:szCs w:val="24"/>
        </w:rPr>
        <w:t xml:space="preserve"> (T)</w:t>
      </w:r>
      <w:r w:rsidR="00401785" w:rsidRPr="00A83B39">
        <w:rPr>
          <w:rFonts w:ascii="TimesNewRoman" w:hAnsi="TimesNewRoman" w:cs="TimesNewRoman"/>
          <w:sz w:val="24"/>
          <w:szCs w:val="24"/>
        </w:rPr>
        <w:t xml:space="preserve"> s’élèvent respectivement à </w:t>
      </w:r>
      <w:r w:rsidR="005C192B" w:rsidRPr="00A83B39">
        <w:rPr>
          <w:rFonts w:ascii="TimesNewRoman" w:hAnsi="TimesNewRoman" w:cs="TimesNewRoman"/>
          <w:sz w:val="24"/>
          <w:szCs w:val="24"/>
        </w:rPr>
        <w:t>1 500</w:t>
      </w:r>
      <w:r w:rsidR="00401785" w:rsidRPr="00A83B39">
        <w:rPr>
          <w:rFonts w:ascii="TimesNewRoman" w:hAnsi="TimesNewRoman" w:cs="TimesNewRoman"/>
          <w:sz w:val="24"/>
          <w:szCs w:val="24"/>
        </w:rPr>
        <w:t xml:space="preserve"> </w:t>
      </w:r>
      <w:r w:rsidR="005C192B" w:rsidRPr="00A83B39">
        <w:rPr>
          <w:rFonts w:ascii="TimesNewRoman" w:hAnsi="TimesNewRoman" w:cs="TimesNewRoman"/>
          <w:sz w:val="24"/>
          <w:szCs w:val="24"/>
        </w:rPr>
        <w:t>K</w:t>
      </w:r>
      <w:r w:rsidR="00401785" w:rsidRPr="00A83B39">
        <w:rPr>
          <w:rFonts w:ascii="TimesNewRoman" w:hAnsi="TimesNewRoman" w:cs="TimesNewRoman"/>
          <w:sz w:val="24"/>
          <w:szCs w:val="24"/>
        </w:rPr>
        <w:t xml:space="preserve">€ et </w:t>
      </w:r>
      <w:r w:rsidR="005C192B" w:rsidRPr="00A83B39">
        <w:rPr>
          <w:rFonts w:ascii="TimesNewRoman" w:hAnsi="TimesNewRoman" w:cs="TimesNewRoman"/>
          <w:sz w:val="24"/>
          <w:szCs w:val="24"/>
        </w:rPr>
        <w:t>900</w:t>
      </w:r>
      <w:r w:rsidR="00401785" w:rsidRPr="00A83B39">
        <w:rPr>
          <w:rFonts w:ascii="TimesNewRoman" w:hAnsi="TimesNewRoman" w:cs="TimesNewRoman"/>
          <w:sz w:val="24"/>
          <w:szCs w:val="24"/>
        </w:rPr>
        <w:t xml:space="preserve"> </w:t>
      </w:r>
      <w:r w:rsidR="005C192B" w:rsidRPr="00A83B39">
        <w:rPr>
          <w:rFonts w:ascii="TimesNewRoman" w:hAnsi="TimesNewRoman" w:cs="TimesNewRoman"/>
          <w:sz w:val="24"/>
          <w:szCs w:val="24"/>
        </w:rPr>
        <w:t>K</w:t>
      </w:r>
      <w:r w:rsidR="00401785" w:rsidRPr="00A83B39">
        <w:rPr>
          <w:rFonts w:ascii="TimesNewRoman" w:hAnsi="TimesNewRoman" w:cs="TimesNewRoman"/>
          <w:sz w:val="24"/>
          <w:szCs w:val="24"/>
        </w:rPr>
        <w:t>€.</w:t>
      </w:r>
      <w:r w:rsidR="00B13495" w:rsidRPr="00A83B39">
        <w:rPr>
          <w:rFonts w:ascii="TimesNewRoman" w:hAnsi="TimesNewRoman" w:cs="TimesNewRoman"/>
          <w:sz w:val="24"/>
          <w:szCs w:val="24"/>
        </w:rPr>
        <w:t xml:space="preserve"> Par ailleurs, il existe deux autres centres A et D dotés respectivement de 1000 K€ et de 300 K€. </w:t>
      </w:r>
      <w:r w:rsidR="00401785" w:rsidRPr="00A83B39">
        <w:rPr>
          <w:rFonts w:ascii="TimesNewRoman" w:hAnsi="TimesNewRoman" w:cs="TimesNewRoman"/>
          <w:sz w:val="24"/>
          <w:szCs w:val="24"/>
        </w:rPr>
        <w:t xml:space="preserve"> La répartition secondaire se fait en imputant </w:t>
      </w:r>
      <w:r w:rsidR="00B13495" w:rsidRPr="00A83B39">
        <w:rPr>
          <w:rFonts w:ascii="TimesNewRoman" w:hAnsi="TimesNewRoman" w:cs="TimesNewRoman"/>
          <w:sz w:val="24"/>
          <w:szCs w:val="24"/>
        </w:rPr>
        <w:t>les coûts de la façon suivante :</w:t>
      </w:r>
    </w:p>
    <w:tbl>
      <w:tblPr>
        <w:tblW w:w="1314" w:type="dxa"/>
        <w:jc w:val="center"/>
        <w:tblInd w:w="53" w:type="dxa"/>
        <w:tblCellMar>
          <w:left w:w="70" w:type="dxa"/>
          <w:right w:w="70" w:type="dxa"/>
        </w:tblCellMar>
        <w:tblLook w:val="04A0" w:firstRow="1" w:lastRow="0" w:firstColumn="1" w:lastColumn="0" w:noHBand="0" w:noVBand="1"/>
      </w:tblPr>
      <w:tblGrid>
        <w:gridCol w:w="1314"/>
      </w:tblGrid>
      <w:tr w:rsidR="00B13495" w:rsidRPr="00A83B39" w:rsidTr="00B13495">
        <w:trPr>
          <w:trHeight w:val="300"/>
          <w:jc w:val="center"/>
        </w:trPr>
        <w:tc>
          <w:tcPr>
            <w:tcW w:w="1314" w:type="dxa"/>
            <w:tcBorders>
              <w:top w:val="nil"/>
              <w:left w:val="nil"/>
              <w:bottom w:val="nil"/>
              <w:right w:val="nil"/>
            </w:tcBorders>
            <w:shd w:val="clear" w:color="auto" w:fill="auto"/>
            <w:noWrap/>
            <w:vAlign w:val="bottom"/>
            <w:hideMark/>
          </w:tcPr>
          <w:p w:rsidR="00B13495" w:rsidRPr="00A83B39" w:rsidRDefault="00B13495" w:rsidP="00B13495">
            <w:pPr>
              <w:jc w:val="left"/>
              <w:rPr>
                <w:rFonts w:ascii="Calibri" w:hAnsi="Calibri"/>
                <w:color w:val="000000"/>
                <w:szCs w:val="22"/>
              </w:rPr>
            </w:pPr>
            <w:r w:rsidRPr="00A83B39">
              <w:rPr>
                <w:rFonts w:ascii="Calibri" w:hAnsi="Calibri"/>
                <w:color w:val="000000"/>
                <w:szCs w:val="22"/>
              </w:rPr>
              <w:t>50% M → A</w:t>
            </w:r>
          </w:p>
        </w:tc>
      </w:tr>
      <w:tr w:rsidR="00B13495" w:rsidRPr="00A83B39" w:rsidTr="00B13495">
        <w:trPr>
          <w:trHeight w:val="300"/>
          <w:jc w:val="center"/>
        </w:trPr>
        <w:tc>
          <w:tcPr>
            <w:tcW w:w="1314" w:type="dxa"/>
            <w:tcBorders>
              <w:top w:val="nil"/>
              <w:left w:val="nil"/>
              <w:bottom w:val="nil"/>
              <w:right w:val="nil"/>
            </w:tcBorders>
            <w:shd w:val="clear" w:color="auto" w:fill="auto"/>
            <w:noWrap/>
            <w:vAlign w:val="bottom"/>
            <w:hideMark/>
          </w:tcPr>
          <w:p w:rsidR="00B13495" w:rsidRPr="00A83B39" w:rsidRDefault="00B13495" w:rsidP="00B13495">
            <w:pPr>
              <w:jc w:val="left"/>
              <w:rPr>
                <w:rFonts w:ascii="Calibri" w:hAnsi="Calibri"/>
                <w:color w:val="000000"/>
                <w:szCs w:val="22"/>
              </w:rPr>
            </w:pPr>
            <w:r w:rsidRPr="00A83B39">
              <w:rPr>
                <w:rFonts w:ascii="Calibri" w:hAnsi="Calibri"/>
                <w:color w:val="000000"/>
                <w:szCs w:val="22"/>
              </w:rPr>
              <w:t>30% M → C</w:t>
            </w:r>
          </w:p>
        </w:tc>
      </w:tr>
      <w:tr w:rsidR="00B13495" w:rsidRPr="00A83B39" w:rsidTr="00B13495">
        <w:trPr>
          <w:trHeight w:val="300"/>
          <w:jc w:val="center"/>
        </w:trPr>
        <w:tc>
          <w:tcPr>
            <w:tcW w:w="1314" w:type="dxa"/>
            <w:tcBorders>
              <w:top w:val="nil"/>
              <w:left w:val="nil"/>
              <w:bottom w:val="nil"/>
              <w:right w:val="nil"/>
            </w:tcBorders>
            <w:shd w:val="clear" w:color="auto" w:fill="auto"/>
            <w:noWrap/>
            <w:vAlign w:val="bottom"/>
            <w:hideMark/>
          </w:tcPr>
          <w:p w:rsidR="00B13495" w:rsidRPr="00A83B39" w:rsidRDefault="00B13495" w:rsidP="00B13495">
            <w:pPr>
              <w:jc w:val="left"/>
              <w:rPr>
                <w:rFonts w:ascii="Calibri" w:hAnsi="Calibri"/>
                <w:color w:val="000000"/>
                <w:szCs w:val="22"/>
              </w:rPr>
            </w:pPr>
            <w:r w:rsidRPr="00A83B39">
              <w:rPr>
                <w:rFonts w:ascii="Calibri" w:hAnsi="Calibri"/>
                <w:color w:val="000000"/>
                <w:szCs w:val="22"/>
              </w:rPr>
              <w:t>20% M → D</w:t>
            </w:r>
          </w:p>
        </w:tc>
      </w:tr>
      <w:tr w:rsidR="00B13495" w:rsidRPr="00A83B39" w:rsidTr="00B13495">
        <w:trPr>
          <w:trHeight w:val="300"/>
          <w:jc w:val="center"/>
        </w:trPr>
        <w:tc>
          <w:tcPr>
            <w:tcW w:w="1314" w:type="dxa"/>
            <w:tcBorders>
              <w:top w:val="nil"/>
              <w:left w:val="nil"/>
              <w:bottom w:val="nil"/>
              <w:right w:val="nil"/>
            </w:tcBorders>
            <w:shd w:val="clear" w:color="auto" w:fill="auto"/>
            <w:noWrap/>
            <w:vAlign w:val="bottom"/>
            <w:hideMark/>
          </w:tcPr>
          <w:p w:rsidR="00B13495" w:rsidRPr="00A83B39" w:rsidRDefault="00B13495" w:rsidP="00B13495">
            <w:pPr>
              <w:jc w:val="left"/>
              <w:rPr>
                <w:rFonts w:ascii="Calibri" w:hAnsi="Calibri"/>
                <w:color w:val="000000"/>
                <w:szCs w:val="22"/>
              </w:rPr>
            </w:pPr>
          </w:p>
        </w:tc>
      </w:tr>
      <w:tr w:rsidR="00B13495" w:rsidRPr="00A83B39" w:rsidTr="00B13495">
        <w:trPr>
          <w:trHeight w:val="300"/>
          <w:jc w:val="center"/>
        </w:trPr>
        <w:tc>
          <w:tcPr>
            <w:tcW w:w="1314" w:type="dxa"/>
            <w:tcBorders>
              <w:top w:val="nil"/>
              <w:left w:val="nil"/>
              <w:bottom w:val="nil"/>
              <w:right w:val="nil"/>
            </w:tcBorders>
            <w:shd w:val="clear" w:color="auto" w:fill="auto"/>
            <w:noWrap/>
            <w:vAlign w:val="bottom"/>
            <w:hideMark/>
          </w:tcPr>
          <w:p w:rsidR="00B13495" w:rsidRPr="00A83B39" w:rsidRDefault="00B13495" w:rsidP="00B13495">
            <w:pPr>
              <w:jc w:val="left"/>
              <w:rPr>
                <w:rFonts w:ascii="Calibri" w:hAnsi="Calibri"/>
                <w:color w:val="000000"/>
                <w:szCs w:val="22"/>
              </w:rPr>
            </w:pPr>
            <w:r w:rsidRPr="00A83B39">
              <w:rPr>
                <w:rFonts w:ascii="Calibri" w:hAnsi="Calibri"/>
                <w:color w:val="000000"/>
                <w:szCs w:val="22"/>
              </w:rPr>
              <w:t>40% T → A</w:t>
            </w:r>
          </w:p>
        </w:tc>
      </w:tr>
      <w:tr w:rsidR="00B13495" w:rsidRPr="00A83B39" w:rsidTr="00B13495">
        <w:trPr>
          <w:trHeight w:val="300"/>
          <w:jc w:val="center"/>
        </w:trPr>
        <w:tc>
          <w:tcPr>
            <w:tcW w:w="1314" w:type="dxa"/>
            <w:tcBorders>
              <w:top w:val="nil"/>
              <w:left w:val="nil"/>
              <w:bottom w:val="nil"/>
              <w:right w:val="nil"/>
            </w:tcBorders>
            <w:shd w:val="clear" w:color="auto" w:fill="auto"/>
            <w:noWrap/>
            <w:vAlign w:val="bottom"/>
            <w:hideMark/>
          </w:tcPr>
          <w:p w:rsidR="00B13495" w:rsidRPr="00A83B39" w:rsidRDefault="00B13495" w:rsidP="00B13495">
            <w:pPr>
              <w:jc w:val="left"/>
              <w:rPr>
                <w:rFonts w:ascii="Calibri" w:hAnsi="Calibri"/>
                <w:color w:val="000000"/>
                <w:szCs w:val="22"/>
              </w:rPr>
            </w:pPr>
            <w:r w:rsidRPr="00A83B39">
              <w:rPr>
                <w:rFonts w:ascii="Calibri" w:hAnsi="Calibri"/>
                <w:color w:val="000000"/>
                <w:szCs w:val="22"/>
              </w:rPr>
              <w:t>20% T → B</w:t>
            </w:r>
          </w:p>
        </w:tc>
      </w:tr>
      <w:tr w:rsidR="00B13495" w:rsidRPr="00A83B39" w:rsidTr="00B13495">
        <w:trPr>
          <w:trHeight w:val="300"/>
          <w:jc w:val="center"/>
        </w:trPr>
        <w:tc>
          <w:tcPr>
            <w:tcW w:w="1314" w:type="dxa"/>
            <w:tcBorders>
              <w:top w:val="nil"/>
              <w:left w:val="nil"/>
              <w:bottom w:val="nil"/>
              <w:right w:val="nil"/>
            </w:tcBorders>
            <w:shd w:val="clear" w:color="auto" w:fill="auto"/>
            <w:noWrap/>
            <w:vAlign w:val="bottom"/>
            <w:hideMark/>
          </w:tcPr>
          <w:p w:rsidR="00B13495" w:rsidRPr="00A83B39" w:rsidRDefault="00B13495" w:rsidP="00B13495">
            <w:pPr>
              <w:jc w:val="left"/>
              <w:rPr>
                <w:rFonts w:ascii="Calibri" w:hAnsi="Calibri"/>
                <w:color w:val="000000"/>
                <w:szCs w:val="22"/>
              </w:rPr>
            </w:pPr>
            <w:r w:rsidRPr="00A83B39">
              <w:rPr>
                <w:rFonts w:ascii="Calibri" w:hAnsi="Calibri"/>
                <w:color w:val="000000"/>
                <w:szCs w:val="22"/>
              </w:rPr>
              <w:t>40% T → D</w:t>
            </w:r>
          </w:p>
          <w:p w:rsidR="00B13495" w:rsidRPr="00A83B39" w:rsidRDefault="00B13495" w:rsidP="00B13495">
            <w:pPr>
              <w:jc w:val="left"/>
              <w:rPr>
                <w:rFonts w:ascii="Calibri" w:hAnsi="Calibri"/>
                <w:color w:val="000000"/>
                <w:szCs w:val="22"/>
              </w:rPr>
            </w:pPr>
          </w:p>
          <w:p w:rsidR="00B13495" w:rsidRPr="00A83B39" w:rsidRDefault="00B13495" w:rsidP="00B13495">
            <w:pPr>
              <w:jc w:val="left"/>
              <w:rPr>
                <w:rFonts w:ascii="Calibri" w:hAnsi="Calibri"/>
                <w:color w:val="000000"/>
                <w:szCs w:val="22"/>
              </w:rPr>
            </w:pPr>
            <w:r w:rsidRPr="00A83B39">
              <w:rPr>
                <w:rFonts w:ascii="Calibri" w:hAnsi="Calibri"/>
                <w:color w:val="000000"/>
                <w:szCs w:val="22"/>
              </w:rPr>
              <w:t>100% A →A</w:t>
            </w:r>
          </w:p>
          <w:p w:rsidR="00B13495" w:rsidRPr="00A83B39" w:rsidRDefault="00B13495" w:rsidP="00B13495">
            <w:pPr>
              <w:jc w:val="left"/>
              <w:rPr>
                <w:rFonts w:ascii="Calibri" w:hAnsi="Calibri"/>
                <w:color w:val="000000"/>
                <w:szCs w:val="22"/>
              </w:rPr>
            </w:pPr>
          </w:p>
          <w:p w:rsidR="00B13495" w:rsidRPr="00A83B39" w:rsidRDefault="00B13495" w:rsidP="00B13495">
            <w:pPr>
              <w:jc w:val="left"/>
              <w:rPr>
                <w:rFonts w:ascii="Calibri" w:hAnsi="Calibri"/>
                <w:color w:val="000000"/>
                <w:szCs w:val="22"/>
              </w:rPr>
            </w:pPr>
            <w:r w:rsidRPr="00A83B39">
              <w:rPr>
                <w:rFonts w:ascii="Calibri" w:hAnsi="Calibri"/>
                <w:color w:val="000000"/>
                <w:szCs w:val="22"/>
              </w:rPr>
              <w:t>100% D →D</w:t>
            </w:r>
          </w:p>
        </w:tc>
      </w:tr>
    </w:tbl>
    <w:p w:rsidR="00401785" w:rsidRPr="00A83B39" w:rsidRDefault="005C192B" w:rsidP="00401785">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 xml:space="preserve"> </w:t>
      </w:r>
    </w:p>
    <w:p w:rsidR="00EA153D" w:rsidRPr="00A83B39" w:rsidRDefault="00EA153D" w:rsidP="00401785">
      <w:pPr>
        <w:autoSpaceDE w:val="0"/>
        <w:autoSpaceDN w:val="0"/>
        <w:adjustRightInd w:val="0"/>
        <w:jc w:val="left"/>
        <w:rPr>
          <w:rFonts w:ascii="TimesNewRoman" w:hAnsi="TimesNewRoman" w:cs="TimesNewRoman"/>
          <w:sz w:val="24"/>
          <w:szCs w:val="24"/>
        </w:rPr>
      </w:pPr>
    </w:p>
    <w:p w:rsidR="005C192B" w:rsidRPr="00A83B39" w:rsidRDefault="00B62195"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xml:space="preserve">Pour </w:t>
      </w:r>
      <w:r w:rsidR="00922B37" w:rsidRPr="00A83B39">
        <w:rPr>
          <w:rFonts w:ascii="TimesNewRoman" w:hAnsi="TimesNewRoman" w:cs="TimesNewRoman"/>
          <w:sz w:val="24"/>
          <w:szCs w:val="24"/>
        </w:rPr>
        <w:t>pouvoir effectuer la répartition secondaire,</w:t>
      </w:r>
      <w:r w:rsidR="005C192B" w:rsidRPr="00A83B39">
        <w:rPr>
          <w:rFonts w:ascii="TimesNewRoman" w:hAnsi="TimesNewRoman" w:cs="TimesNewRoman"/>
          <w:sz w:val="24"/>
          <w:szCs w:val="24"/>
        </w:rPr>
        <w:t xml:space="preserve"> deux méthodes sont possibles.</w:t>
      </w:r>
    </w:p>
    <w:p w:rsidR="005C192B" w:rsidRPr="00A83B39" w:rsidRDefault="005C192B" w:rsidP="00745725">
      <w:pPr>
        <w:autoSpaceDE w:val="0"/>
        <w:autoSpaceDN w:val="0"/>
        <w:adjustRightInd w:val="0"/>
        <w:rPr>
          <w:rFonts w:ascii="TimesNewRoman" w:hAnsi="TimesNewRoman" w:cs="TimesNewRoman"/>
          <w:sz w:val="24"/>
          <w:szCs w:val="24"/>
        </w:rPr>
      </w:pPr>
    </w:p>
    <w:p w:rsidR="005C192B" w:rsidRPr="00A83B39" w:rsidRDefault="005C192B" w:rsidP="00745725">
      <w:pPr>
        <w:autoSpaceDE w:val="0"/>
        <w:autoSpaceDN w:val="0"/>
        <w:adjustRightInd w:val="0"/>
        <w:rPr>
          <w:rFonts w:ascii="TimesNewRoman" w:hAnsi="TimesNewRoman" w:cs="TimesNewRoman"/>
          <w:sz w:val="24"/>
          <w:szCs w:val="24"/>
          <w:u w:val="single"/>
        </w:rPr>
      </w:pPr>
      <w:r w:rsidRPr="00A83B39">
        <w:rPr>
          <w:rFonts w:ascii="TimesNewRoman" w:hAnsi="TimesNewRoman" w:cs="TimesNewRoman"/>
          <w:sz w:val="24"/>
          <w:szCs w:val="24"/>
          <w:u w:val="single"/>
        </w:rPr>
        <w:t>Méthode par itérations :</w:t>
      </w:r>
    </w:p>
    <w:p w:rsidR="005C192B" w:rsidRPr="00A83B39" w:rsidRDefault="005C192B" w:rsidP="00745725">
      <w:pPr>
        <w:autoSpaceDE w:val="0"/>
        <w:autoSpaceDN w:val="0"/>
        <w:adjustRightInd w:val="0"/>
        <w:rPr>
          <w:rFonts w:ascii="TimesNewRoman" w:hAnsi="TimesNewRoman" w:cs="TimesNewRoman"/>
          <w:sz w:val="24"/>
          <w:szCs w:val="24"/>
        </w:rPr>
      </w:pPr>
    </w:p>
    <w:tbl>
      <w:tblPr>
        <w:tblW w:w="6226" w:type="dxa"/>
        <w:jc w:val="center"/>
        <w:tblInd w:w="53" w:type="dxa"/>
        <w:tblCellMar>
          <w:left w:w="70" w:type="dxa"/>
          <w:right w:w="70" w:type="dxa"/>
        </w:tblCellMar>
        <w:tblLook w:val="04A0" w:firstRow="1" w:lastRow="0" w:firstColumn="1" w:lastColumn="0" w:noHBand="0" w:noVBand="1"/>
      </w:tblPr>
      <w:tblGrid>
        <w:gridCol w:w="1426"/>
        <w:gridCol w:w="1200"/>
        <w:gridCol w:w="1200"/>
        <w:gridCol w:w="1200"/>
        <w:gridCol w:w="1200"/>
      </w:tblGrid>
      <w:tr w:rsidR="005C192B" w:rsidRPr="00A83B39" w:rsidTr="005C192B">
        <w:trPr>
          <w:trHeight w:val="300"/>
          <w:jc w:val="center"/>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En K€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D</w:t>
            </w:r>
          </w:p>
        </w:tc>
      </w:tr>
      <w:tr w:rsidR="005C192B" w:rsidRPr="00A83B39" w:rsidTr="005C192B">
        <w:trPr>
          <w:trHeight w:val="300"/>
          <w:jc w:val="center"/>
        </w:trPr>
        <w:tc>
          <w:tcPr>
            <w:tcW w:w="1426" w:type="dxa"/>
            <w:tcBorders>
              <w:top w:val="nil"/>
              <w:left w:val="single" w:sz="4" w:space="0" w:color="auto"/>
              <w:bottom w:val="single" w:sz="4" w:space="0" w:color="auto"/>
              <w:right w:val="single" w:sz="4" w:space="0" w:color="auto"/>
            </w:tcBorders>
            <w:shd w:val="clear" w:color="auto" w:fill="auto"/>
            <w:noWrap/>
            <w:vAlign w:val="center"/>
            <w:hideMark/>
          </w:tcPr>
          <w:p w:rsidR="005C192B" w:rsidRPr="00A83B39" w:rsidRDefault="00ED08F7" w:rsidP="005C192B">
            <w:pPr>
              <w:jc w:val="center"/>
              <w:rPr>
                <w:rFonts w:ascii="Calibri" w:hAnsi="Calibri"/>
                <w:color w:val="FF0000"/>
                <w:szCs w:val="22"/>
              </w:rPr>
            </w:pPr>
            <w:r w:rsidRPr="00A83B39">
              <w:rPr>
                <w:rFonts w:ascii="Calibri" w:hAnsi="Calibri"/>
                <w:color w:val="FF0000"/>
                <w:szCs w:val="22"/>
              </w:rPr>
              <w:t>État</w:t>
            </w:r>
            <w:r w:rsidR="005C192B" w:rsidRPr="00A83B39">
              <w:rPr>
                <w:rFonts w:ascii="Calibri" w:hAnsi="Calibri"/>
                <w:color w:val="FF0000"/>
                <w:szCs w:val="22"/>
              </w:rPr>
              <w:t xml:space="preserve"> initial</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1000</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1500</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900</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300</w:t>
            </w:r>
          </w:p>
        </w:tc>
      </w:tr>
      <w:tr w:rsidR="005C192B" w:rsidRPr="00A83B39" w:rsidTr="005C192B">
        <w:trPr>
          <w:trHeight w:val="300"/>
          <w:jc w:val="center"/>
        </w:trPr>
        <w:tc>
          <w:tcPr>
            <w:tcW w:w="1426" w:type="dxa"/>
            <w:tcBorders>
              <w:top w:val="nil"/>
              <w:left w:val="single" w:sz="4" w:space="0" w:color="auto"/>
              <w:bottom w:val="single" w:sz="4" w:space="0" w:color="auto"/>
              <w:right w:val="single" w:sz="4" w:space="0" w:color="auto"/>
            </w:tcBorders>
            <w:shd w:val="clear" w:color="auto" w:fill="auto"/>
            <w:noWrap/>
            <w:vAlign w:val="center"/>
            <w:hideMark/>
          </w:tcPr>
          <w:p w:rsidR="005C192B" w:rsidRPr="00A83B39" w:rsidRDefault="005C192B" w:rsidP="00A777C1">
            <w:pPr>
              <w:jc w:val="center"/>
              <w:rPr>
                <w:rFonts w:ascii="Calibri" w:hAnsi="Calibri"/>
                <w:color w:val="FF0000"/>
                <w:szCs w:val="22"/>
              </w:rPr>
            </w:pPr>
            <w:r w:rsidRPr="00A83B39">
              <w:rPr>
                <w:rFonts w:ascii="Calibri" w:hAnsi="Calibri"/>
                <w:color w:val="FF0000"/>
                <w:szCs w:val="22"/>
              </w:rPr>
              <w:t xml:space="preserve">1 = On vide </w:t>
            </w:r>
            <w:r w:rsidR="00A777C1" w:rsidRPr="00A83B39">
              <w:rPr>
                <w:rFonts w:ascii="Calibri" w:hAnsi="Calibri"/>
                <w:color w:val="FF0000"/>
                <w:szCs w:val="22"/>
              </w:rPr>
              <w:t>M</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1750</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1350</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600</w:t>
            </w:r>
          </w:p>
        </w:tc>
      </w:tr>
      <w:tr w:rsidR="005C192B" w:rsidRPr="00A83B39" w:rsidTr="005C192B">
        <w:trPr>
          <w:trHeight w:val="300"/>
          <w:jc w:val="center"/>
        </w:trPr>
        <w:tc>
          <w:tcPr>
            <w:tcW w:w="1426" w:type="dxa"/>
            <w:tcBorders>
              <w:top w:val="nil"/>
              <w:left w:val="single" w:sz="4" w:space="0" w:color="auto"/>
              <w:bottom w:val="single" w:sz="4" w:space="0" w:color="auto"/>
              <w:right w:val="single" w:sz="4" w:space="0" w:color="auto"/>
            </w:tcBorders>
            <w:shd w:val="clear" w:color="auto" w:fill="auto"/>
            <w:noWrap/>
            <w:vAlign w:val="center"/>
            <w:hideMark/>
          </w:tcPr>
          <w:p w:rsidR="005C192B" w:rsidRPr="00A83B39" w:rsidRDefault="005C192B" w:rsidP="00A777C1">
            <w:pPr>
              <w:jc w:val="center"/>
              <w:rPr>
                <w:rFonts w:ascii="Calibri" w:hAnsi="Calibri"/>
                <w:color w:val="FF0000"/>
                <w:szCs w:val="22"/>
              </w:rPr>
            </w:pPr>
            <w:r w:rsidRPr="00A83B39">
              <w:rPr>
                <w:rFonts w:ascii="Calibri" w:hAnsi="Calibri"/>
                <w:color w:val="FF0000"/>
                <w:szCs w:val="22"/>
              </w:rPr>
              <w:t xml:space="preserve">2 = On vide </w:t>
            </w:r>
            <w:r w:rsidR="00A777C1" w:rsidRPr="00A83B39">
              <w:rPr>
                <w:rFonts w:ascii="Calibri" w:hAnsi="Calibri"/>
                <w:color w:val="FF0000"/>
                <w:szCs w:val="22"/>
              </w:rPr>
              <w:t>T</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2290</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270</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1140</w:t>
            </w:r>
          </w:p>
        </w:tc>
      </w:tr>
      <w:tr w:rsidR="005C192B" w:rsidRPr="00A83B39" w:rsidTr="005C192B">
        <w:trPr>
          <w:trHeight w:val="300"/>
          <w:jc w:val="center"/>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5C192B" w:rsidRPr="00A83B39" w:rsidRDefault="005C192B" w:rsidP="00A777C1">
            <w:pPr>
              <w:jc w:val="center"/>
              <w:rPr>
                <w:rFonts w:ascii="Calibri" w:hAnsi="Calibri"/>
                <w:color w:val="FF0000"/>
                <w:szCs w:val="22"/>
              </w:rPr>
            </w:pPr>
            <w:r w:rsidRPr="00A83B39">
              <w:rPr>
                <w:rFonts w:ascii="Calibri" w:hAnsi="Calibri"/>
                <w:color w:val="FF0000"/>
                <w:szCs w:val="22"/>
              </w:rPr>
              <w:t xml:space="preserve">3 = On vide </w:t>
            </w:r>
            <w:r w:rsidR="00A777C1" w:rsidRPr="00A83B39">
              <w:rPr>
                <w:rFonts w:ascii="Calibri" w:hAnsi="Calibri"/>
                <w:color w:val="FF0000"/>
                <w:szCs w:val="22"/>
              </w:rPr>
              <w:t>M</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2425</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81</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1194</w:t>
            </w:r>
          </w:p>
        </w:tc>
      </w:tr>
      <w:tr w:rsidR="005C192B" w:rsidRPr="00A83B39" w:rsidTr="005C192B">
        <w:trPr>
          <w:trHeight w:val="300"/>
          <w:jc w:val="center"/>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5C192B" w:rsidRPr="00A83B39" w:rsidRDefault="005C192B" w:rsidP="00A777C1">
            <w:pPr>
              <w:jc w:val="center"/>
              <w:rPr>
                <w:rFonts w:ascii="Calibri" w:hAnsi="Calibri"/>
                <w:color w:val="FF0000"/>
                <w:szCs w:val="22"/>
              </w:rPr>
            </w:pPr>
            <w:r w:rsidRPr="00A83B39">
              <w:rPr>
                <w:rFonts w:ascii="Calibri" w:hAnsi="Calibri"/>
                <w:color w:val="FF0000"/>
                <w:szCs w:val="22"/>
              </w:rPr>
              <w:t xml:space="preserve">4 = On vide </w:t>
            </w:r>
            <w:r w:rsidR="00A777C1" w:rsidRPr="00A83B39">
              <w:rPr>
                <w:rFonts w:ascii="Calibri" w:hAnsi="Calibri"/>
                <w:color w:val="FF0000"/>
                <w:szCs w:val="22"/>
              </w:rPr>
              <w:t>T</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2457</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16</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1226</w:t>
            </w:r>
          </w:p>
        </w:tc>
      </w:tr>
      <w:tr w:rsidR="005C192B" w:rsidRPr="00A83B39" w:rsidTr="005C192B">
        <w:trPr>
          <w:trHeight w:val="300"/>
          <w:jc w:val="center"/>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5C192B" w:rsidRPr="00A83B39" w:rsidRDefault="005C192B" w:rsidP="00A777C1">
            <w:pPr>
              <w:jc w:val="center"/>
              <w:rPr>
                <w:rFonts w:ascii="Calibri" w:hAnsi="Calibri"/>
                <w:color w:val="FF0000"/>
                <w:szCs w:val="22"/>
              </w:rPr>
            </w:pPr>
            <w:r w:rsidRPr="00A83B39">
              <w:rPr>
                <w:rFonts w:ascii="Calibri" w:hAnsi="Calibri"/>
                <w:color w:val="FF0000"/>
                <w:szCs w:val="22"/>
              </w:rPr>
              <w:t>5 = On vide</w:t>
            </w:r>
            <w:r w:rsidR="00B13495" w:rsidRPr="00A83B39">
              <w:rPr>
                <w:rFonts w:ascii="Calibri" w:hAnsi="Calibri"/>
                <w:color w:val="FF0000"/>
                <w:szCs w:val="22"/>
              </w:rPr>
              <w:t xml:space="preserve"> </w:t>
            </w:r>
            <w:r w:rsidR="00A777C1" w:rsidRPr="00A83B39">
              <w:rPr>
                <w:rFonts w:ascii="Calibri" w:hAnsi="Calibri"/>
                <w:color w:val="FF0000"/>
                <w:szCs w:val="22"/>
              </w:rPr>
              <w:t>M</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2466</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5</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1230</w:t>
            </w:r>
          </w:p>
        </w:tc>
      </w:tr>
      <w:tr w:rsidR="005C192B" w:rsidRPr="00A83B39" w:rsidTr="005C192B">
        <w:trPr>
          <w:trHeight w:val="300"/>
          <w:jc w:val="center"/>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5C192B" w:rsidRPr="00A83B39" w:rsidRDefault="005C192B" w:rsidP="00A777C1">
            <w:pPr>
              <w:jc w:val="center"/>
              <w:rPr>
                <w:rFonts w:ascii="Calibri" w:hAnsi="Calibri"/>
                <w:color w:val="FF0000"/>
                <w:szCs w:val="22"/>
              </w:rPr>
            </w:pPr>
            <w:r w:rsidRPr="00A83B39">
              <w:rPr>
                <w:rFonts w:ascii="Calibri" w:hAnsi="Calibri"/>
                <w:color w:val="FF0000"/>
                <w:szCs w:val="22"/>
              </w:rPr>
              <w:t xml:space="preserve">6 = On vide </w:t>
            </w:r>
            <w:r w:rsidR="00A777C1" w:rsidRPr="00A83B39">
              <w:rPr>
                <w:rFonts w:ascii="Calibri" w:hAnsi="Calibri"/>
                <w:color w:val="FF0000"/>
                <w:szCs w:val="22"/>
              </w:rPr>
              <w:t>T</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2467</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1232</w:t>
            </w:r>
          </w:p>
        </w:tc>
      </w:tr>
      <w:tr w:rsidR="005C192B" w:rsidRPr="00A83B39" w:rsidTr="005C192B">
        <w:trPr>
          <w:trHeight w:val="300"/>
          <w:jc w:val="center"/>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5C192B" w:rsidRPr="00A83B39" w:rsidRDefault="005C192B" w:rsidP="00A777C1">
            <w:pPr>
              <w:jc w:val="center"/>
              <w:rPr>
                <w:rFonts w:ascii="Calibri" w:hAnsi="Calibri"/>
                <w:color w:val="FF0000"/>
                <w:szCs w:val="22"/>
              </w:rPr>
            </w:pPr>
            <w:r w:rsidRPr="00A83B39">
              <w:rPr>
                <w:rFonts w:ascii="Calibri" w:hAnsi="Calibri"/>
                <w:color w:val="FF0000"/>
                <w:szCs w:val="22"/>
              </w:rPr>
              <w:t xml:space="preserve">7 = On vide </w:t>
            </w:r>
            <w:r w:rsidR="00A777C1" w:rsidRPr="00A83B39">
              <w:rPr>
                <w:rFonts w:ascii="Calibri" w:hAnsi="Calibri"/>
                <w:color w:val="FF0000"/>
                <w:szCs w:val="22"/>
              </w:rPr>
              <w:t>M</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2468</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1232</w:t>
            </w:r>
          </w:p>
        </w:tc>
      </w:tr>
      <w:tr w:rsidR="005C192B" w:rsidRPr="00A83B39" w:rsidTr="005C192B">
        <w:trPr>
          <w:trHeight w:val="300"/>
          <w:jc w:val="center"/>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5C192B" w:rsidRPr="00A83B39" w:rsidRDefault="00ED08F7" w:rsidP="005C192B">
            <w:pPr>
              <w:jc w:val="center"/>
              <w:rPr>
                <w:rFonts w:ascii="Calibri" w:hAnsi="Calibri"/>
                <w:color w:val="FF0000"/>
                <w:szCs w:val="22"/>
              </w:rPr>
            </w:pPr>
            <w:r w:rsidRPr="00A83B39">
              <w:rPr>
                <w:rFonts w:ascii="Calibri" w:hAnsi="Calibri"/>
                <w:color w:val="FF0000"/>
                <w:szCs w:val="22"/>
              </w:rPr>
              <w:t>État</w:t>
            </w:r>
            <w:r w:rsidR="005C192B" w:rsidRPr="00A83B39">
              <w:rPr>
                <w:rFonts w:ascii="Calibri" w:hAnsi="Calibri"/>
                <w:color w:val="FF0000"/>
                <w:szCs w:val="22"/>
              </w:rPr>
              <w:t xml:space="preserve"> final</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2468</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5C192B" w:rsidRPr="00A83B39" w:rsidRDefault="005C192B" w:rsidP="005C192B">
            <w:pPr>
              <w:jc w:val="center"/>
              <w:rPr>
                <w:rFonts w:ascii="Calibri" w:hAnsi="Calibri"/>
                <w:color w:val="000000"/>
                <w:szCs w:val="22"/>
              </w:rPr>
            </w:pPr>
            <w:r w:rsidRPr="00A83B39">
              <w:rPr>
                <w:rFonts w:ascii="Calibri" w:hAnsi="Calibri"/>
                <w:color w:val="000000"/>
                <w:szCs w:val="22"/>
              </w:rPr>
              <w:t>1232</w:t>
            </w:r>
          </w:p>
        </w:tc>
      </w:tr>
    </w:tbl>
    <w:p w:rsidR="005C192B" w:rsidRPr="00A83B39" w:rsidRDefault="005C192B" w:rsidP="005C192B">
      <w:pPr>
        <w:autoSpaceDE w:val="0"/>
        <w:autoSpaceDN w:val="0"/>
        <w:adjustRightInd w:val="0"/>
        <w:jc w:val="left"/>
        <w:rPr>
          <w:rFonts w:ascii="TimesNewRoman" w:hAnsi="TimesNewRoman" w:cs="TimesNewRoman"/>
          <w:sz w:val="24"/>
          <w:szCs w:val="24"/>
        </w:rPr>
      </w:pPr>
    </w:p>
    <w:p w:rsidR="00B13495" w:rsidRPr="00A83B39" w:rsidRDefault="00B13495" w:rsidP="00745725">
      <w:pPr>
        <w:autoSpaceDE w:val="0"/>
        <w:autoSpaceDN w:val="0"/>
        <w:adjustRightInd w:val="0"/>
        <w:rPr>
          <w:rFonts w:ascii="TimesNewRoman" w:hAnsi="TimesNewRoman" w:cs="TimesNewRoman"/>
          <w:sz w:val="24"/>
          <w:szCs w:val="24"/>
          <w:u w:val="single"/>
        </w:rPr>
      </w:pPr>
      <w:r w:rsidRPr="00A83B39">
        <w:rPr>
          <w:rFonts w:ascii="TimesNewRoman" w:hAnsi="TimesNewRoman" w:cs="TimesNewRoman"/>
          <w:sz w:val="24"/>
          <w:szCs w:val="24"/>
          <w:u w:val="single"/>
        </w:rPr>
        <w:t>Méthode par résolution d'un système d'équations :</w:t>
      </w:r>
    </w:p>
    <w:p w:rsidR="005C192B" w:rsidRPr="00A83B39" w:rsidRDefault="005C192B" w:rsidP="00745725">
      <w:pPr>
        <w:autoSpaceDE w:val="0"/>
        <w:autoSpaceDN w:val="0"/>
        <w:adjustRightInd w:val="0"/>
        <w:rPr>
          <w:rFonts w:ascii="TimesNewRoman" w:hAnsi="TimesNewRoman" w:cs="TimesNewRoman"/>
          <w:sz w:val="24"/>
          <w:szCs w:val="24"/>
        </w:rPr>
      </w:pPr>
    </w:p>
    <w:p w:rsidR="00922B37" w:rsidRPr="00A83B39" w:rsidRDefault="00B13495"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O</w:t>
      </w:r>
      <w:r w:rsidR="00922B37" w:rsidRPr="00A83B39">
        <w:rPr>
          <w:rFonts w:ascii="TimesNewRoman" w:hAnsi="TimesNewRoman" w:cs="TimesNewRoman"/>
          <w:sz w:val="24"/>
          <w:szCs w:val="24"/>
        </w:rPr>
        <w:t>n</w:t>
      </w:r>
      <w:r w:rsidRPr="00A83B39">
        <w:rPr>
          <w:rFonts w:ascii="TimesNewRoman" w:hAnsi="TimesNewRoman" w:cs="TimesNewRoman"/>
          <w:sz w:val="24"/>
          <w:szCs w:val="24"/>
        </w:rPr>
        <w:t xml:space="preserve"> cherche à</w:t>
      </w:r>
      <w:r w:rsidR="00922B37" w:rsidRPr="00A83B39">
        <w:rPr>
          <w:rFonts w:ascii="TimesNewRoman" w:hAnsi="TimesNewRoman" w:cs="TimesNewRoman"/>
          <w:sz w:val="24"/>
          <w:szCs w:val="24"/>
        </w:rPr>
        <w:t xml:space="preserve"> détermine</w:t>
      </w:r>
      <w:r w:rsidRPr="00A83B39">
        <w:rPr>
          <w:rFonts w:ascii="TimesNewRoman" w:hAnsi="TimesNewRoman" w:cs="TimesNewRoman"/>
          <w:sz w:val="24"/>
          <w:szCs w:val="24"/>
        </w:rPr>
        <w:t>r</w:t>
      </w:r>
      <w:r w:rsidR="00922B37" w:rsidRPr="00A83B39">
        <w:rPr>
          <w:rFonts w:ascii="TimesNewRoman" w:hAnsi="TimesNewRoman" w:cs="TimesNewRoman"/>
          <w:sz w:val="24"/>
          <w:szCs w:val="24"/>
        </w:rPr>
        <w:t xml:space="preserve"> quels sont les montants qui </w:t>
      </w:r>
      <w:r w:rsidR="00B62195" w:rsidRPr="00A83B39">
        <w:rPr>
          <w:rFonts w:ascii="TimesNewRoman" w:hAnsi="TimesNewRoman" w:cs="TimesNewRoman"/>
          <w:sz w:val="24"/>
          <w:szCs w:val="24"/>
        </w:rPr>
        <w:t>on</w:t>
      </w:r>
      <w:r w:rsidR="00922B37" w:rsidRPr="00A83B39">
        <w:rPr>
          <w:rFonts w:ascii="TimesNewRoman" w:hAnsi="TimesNewRoman" w:cs="TimesNewRoman"/>
          <w:sz w:val="24"/>
          <w:szCs w:val="24"/>
        </w:rPr>
        <w:t>t transités par les centres auxiliaires.</w:t>
      </w:r>
    </w:p>
    <w:p w:rsidR="00B62195" w:rsidRPr="00A83B39" w:rsidRDefault="00922B37"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On</w:t>
      </w:r>
      <w:r w:rsidR="00B62195" w:rsidRPr="00A83B39">
        <w:rPr>
          <w:rFonts w:ascii="TimesNewRoman" w:hAnsi="TimesNewRoman" w:cs="TimesNewRoman"/>
          <w:sz w:val="24"/>
          <w:szCs w:val="24"/>
        </w:rPr>
        <w:t xml:space="preserve"> pose M</w:t>
      </w:r>
      <w:r w:rsidR="00C25788" w:rsidRPr="00A83B39">
        <w:rPr>
          <w:rFonts w:ascii="TimesNewRoman" w:hAnsi="TimesNewRoman" w:cs="TimesNewRoman"/>
          <w:sz w:val="24"/>
          <w:szCs w:val="24"/>
          <w:vertAlign w:val="subscript"/>
        </w:rPr>
        <w:t>T</w:t>
      </w:r>
      <w:r w:rsidR="00B62195" w:rsidRPr="00A83B39">
        <w:rPr>
          <w:rFonts w:ascii="TimesNewRoman" w:hAnsi="TimesNewRoman" w:cs="TimesNewRoman"/>
          <w:sz w:val="24"/>
          <w:szCs w:val="24"/>
        </w:rPr>
        <w:t xml:space="preserve"> le </w:t>
      </w:r>
      <w:r w:rsidR="00A777C1" w:rsidRPr="00A83B39">
        <w:rPr>
          <w:rFonts w:ascii="TimesNewRoman" w:hAnsi="TimesNewRoman" w:cs="TimesNewRoman"/>
          <w:sz w:val="24"/>
          <w:szCs w:val="24"/>
        </w:rPr>
        <w:t>montant relatif au</w:t>
      </w:r>
      <w:r w:rsidR="00B62195" w:rsidRPr="00A83B39">
        <w:rPr>
          <w:rFonts w:ascii="TimesNewRoman" w:hAnsi="TimesNewRoman" w:cs="TimesNewRoman"/>
          <w:sz w:val="24"/>
          <w:szCs w:val="24"/>
        </w:rPr>
        <w:t xml:space="preserve"> centre maintenance et T</w:t>
      </w:r>
      <w:r w:rsidR="00C25788" w:rsidRPr="00A83B39">
        <w:rPr>
          <w:rFonts w:ascii="TimesNewRoman" w:hAnsi="TimesNewRoman" w:cs="TimesNewRoman"/>
          <w:sz w:val="24"/>
          <w:szCs w:val="24"/>
          <w:vertAlign w:val="subscript"/>
        </w:rPr>
        <w:t>T</w:t>
      </w:r>
      <w:r w:rsidR="00B62195" w:rsidRPr="00A83B39">
        <w:rPr>
          <w:rFonts w:ascii="TimesNewRoman" w:hAnsi="TimesNewRoman" w:cs="TimesNewRoman"/>
          <w:sz w:val="24"/>
          <w:szCs w:val="24"/>
        </w:rPr>
        <w:t xml:space="preserve"> </w:t>
      </w:r>
      <w:r w:rsidR="00A777C1" w:rsidRPr="00A83B39">
        <w:rPr>
          <w:rFonts w:ascii="TimesNewRoman" w:hAnsi="TimesNewRoman" w:cs="TimesNewRoman"/>
          <w:sz w:val="24"/>
          <w:szCs w:val="24"/>
        </w:rPr>
        <w:t>celui lié au</w:t>
      </w:r>
      <w:r w:rsidR="00B62195" w:rsidRPr="00A83B39">
        <w:rPr>
          <w:rFonts w:ascii="TimesNewRoman" w:hAnsi="TimesNewRoman" w:cs="TimesNewRoman"/>
          <w:sz w:val="24"/>
          <w:szCs w:val="24"/>
        </w:rPr>
        <w:t xml:space="preserve"> centre transport. </w:t>
      </w:r>
      <w:r w:rsidR="000F6172" w:rsidRPr="00A83B39">
        <w:rPr>
          <w:rFonts w:ascii="TimesNewRoman" w:hAnsi="TimesNewRoman" w:cs="TimesNewRoman"/>
          <w:sz w:val="24"/>
          <w:szCs w:val="24"/>
        </w:rPr>
        <w:t>Il faut trouver</w:t>
      </w:r>
      <w:r w:rsidR="00B62195" w:rsidRPr="00A83B39">
        <w:rPr>
          <w:rFonts w:ascii="TimesNewRoman" w:hAnsi="TimesNewRoman" w:cs="TimesNewRoman"/>
          <w:sz w:val="24"/>
          <w:szCs w:val="24"/>
        </w:rPr>
        <w:t xml:space="preserve"> les solutions au système d'équation suivant :</w:t>
      </w:r>
    </w:p>
    <w:p w:rsidR="00B62195" w:rsidRPr="00A83B39" w:rsidRDefault="00B62195" w:rsidP="00401785">
      <w:pPr>
        <w:autoSpaceDE w:val="0"/>
        <w:autoSpaceDN w:val="0"/>
        <w:adjustRightInd w:val="0"/>
        <w:jc w:val="left"/>
        <w:rPr>
          <w:rFonts w:ascii="TimesNewRoman" w:hAnsi="TimesNewRoman" w:cs="TimesNewRoman"/>
          <w:sz w:val="24"/>
          <w:szCs w:val="24"/>
        </w:rPr>
      </w:pPr>
    </w:p>
    <w:p w:rsidR="00B62195" w:rsidRPr="0004651B" w:rsidRDefault="00D70B17" w:rsidP="00401785">
      <w:pPr>
        <w:autoSpaceDE w:val="0"/>
        <w:autoSpaceDN w:val="0"/>
        <w:adjustRightInd w:val="0"/>
        <w:jc w:val="left"/>
        <w:rPr>
          <w:rFonts w:ascii="TimesNewRoman" w:hAnsi="TimesNewRoman" w:cs="TimesNewRoman"/>
          <w:sz w:val="24"/>
          <w:szCs w:val="24"/>
        </w:rPr>
      </w:pPr>
      <m:oMathPara>
        <m:oMath>
          <m:d>
            <m:dPr>
              <m:begChr m:val="{"/>
              <m:endChr m:val=""/>
              <m:ctrlPr>
                <w:rPr>
                  <w:rFonts w:ascii="Cambria Math" w:hAnsi="Cambria Math" w:cs="TimesNewRoman"/>
                  <w:i/>
                  <w:sz w:val="24"/>
                  <w:szCs w:val="24"/>
                </w:rPr>
              </m:ctrlPr>
            </m:dPr>
            <m:e>
              <m:eqArr>
                <m:eqArrPr>
                  <m:ctrlPr>
                    <w:rPr>
                      <w:rFonts w:ascii="Cambria Math" w:hAnsi="Cambria Math" w:cs="TimesNewRoman"/>
                      <w:i/>
                      <w:sz w:val="24"/>
                      <w:szCs w:val="24"/>
                    </w:rPr>
                  </m:ctrlPr>
                </m:eqArrPr>
                <m:e>
                  <m:sSub>
                    <m:sSubPr>
                      <m:ctrlPr>
                        <w:rPr>
                          <w:rFonts w:ascii="Cambria Math" w:hAnsi="Cambria Math" w:cs="TimesNewRoman"/>
                          <w:i/>
                          <w:sz w:val="24"/>
                          <w:szCs w:val="24"/>
                        </w:rPr>
                      </m:ctrlPr>
                    </m:sSubPr>
                    <m:e>
                      <m:r>
                        <w:rPr>
                          <w:rFonts w:ascii="Cambria Math" w:hAnsi="Cambria Math" w:cs="TimesNewRoman"/>
                          <w:sz w:val="24"/>
                          <w:szCs w:val="24"/>
                        </w:rPr>
                        <m:t>M</m:t>
                      </m:r>
                    </m:e>
                    <m:sub>
                      <m:r>
                        <w:rPr>
                          <w:rFonts w:ascii="Cambria Math" w:hAnsi="Cambria Math" w:cs="TimesNewRoman"/>
                          <w:sz w:val="24"/>
                          <w:szCs w:val="24"/>
                        </w:rPr>
                        <m:t>T</m:t>
                      </m:r>
                    </m:sub>
                  </m:sSub>
                  <m:r>
                    <w:rPr>
                      <w:rFonts w:ascii="Cambria Math" w:hAnsi="Cambria Math" w:cs="TimesNewRoman"/>
                      <w:sz w:val="24"/>
                      <w:szCs w:val="24"/>
                    </w:rPr>
                    <m:t>=1 500+0,2T</m:t>
                  </m:r>
                </m:e>
                <m:e>
                  <m:ctrlPr>
                    <w:rPr>
                      <w:rFonts w:ascii="Cambria Math" w:eastAsia="Cambria Math" w:hAnsi="Cambria Math" w:cs="Cambria Math"/>
                      <w:i/>
                      <w:sz w:val="24"/>
                      <w:szCs w:val="24"/>
                    </w:rPr>
                  </m:ctrlPr>
                </m:e>
                <m:e>
                  <m:sSub>
                    <m:sSubPr>
                      <m:ctrlPr>
                        <w:rPr>
                          <w:rFonts w:ascii="Cambria Math" w:hAnsi="Cambria Math" w:cs="TimesNewRoman"/>
                          <w:i/>
                          <w:sz w:val="24"/>
                          <w:szCs w:val="24"/>
                        </w:rPr>
                      </m:ctrlPr>
                    </m:sSubPr>
                    <m:e>
                      <m:r>
                        <w:rPr>
                          <w:rFonts w:ascii="Cambria Math" w:hAnsi="Cambria Math" w:cs="TimesNewRoman"/>
                          <w:sz w:val="24"/>
                          <w:szCs w:val="24"/>
                        </w:rPr>
                        <m:t>T</m:t>
                      </m:r>
                    </m:e>
                    <m:sub>
                      <m:r>
                        <w:rPr>
                          <w:rFonts w:ascii="Cambria Math" w:hAnsi="Cambria Math" w:cs="TimesNewRoman"/>
                          <w:sz w:val="24"/>
                          <w:szCs w:val="24"/>
                        </w:rPr>
                        <m:t>T</m:t>
                      </m:r>
                    </m:sub>
                  </m:sSub>
                  <m:r>
                    <w:rPr>
                      <w:rFonts w:ascii="Cambria Math" w:hAnsi="Cambria Math" w:cs="TimesNewRoman"/>
                      <w:sz w:val="24"/>
                      <w:szCs w:val="24"/>
                    </w:rPr>
                    <m:t>=900+0.3M</m:t>
                  </m:r>
                </m:e>
              </m:eqArr>
            </m:e>
          </m:d>
        </m:oMath>
      </m:oMathPara>
    </w:p>
    <w:p w:rsidR="00B62195" w:rsidRPr="00A83B39" w:rsidRDefault="00B62195" w:rsidP="00401785">
      <w:pPr>
        <w:autoSpaceDE w:val="0"/>
        <w:autoSpaceDN w:val="0"/>
        <w:adjustRightInd w:val="0"/>
        <w:jc w:val="left"/>
        <w:rPr>
          <w:rFonts w:ascii="TimesNewRoman" w:hAnsi="TimesNewRoman" w:cs="TimesNewRoman"/>
          <w:sz w:val="24"/>
          <w:szCs w:val="24"/>
        </w:rPr>
      </w:pPr>
    </w:p>
    <w:p w:rsidR="00B62195" w:rsidRPr="00A83B39" w:rsidRDefault="00B62195" w:rsidP="00B62195">
      <w:pPr>
        <w:autoSpaceDE w:val="0"/>
        <w:autoSpaceDN w:val="0"/>
        <w:adjustRightInd w:val="0"/>
        <w:jc w:val="left"/>
        <w:rPr>
          <w:rFonts w:ascii="TimesNewRoman" w:hAnsi="TimesNewRoman" w:cs="TimesNewRoman"/>
          <w:sz w:val="24"/>
          <w:szCs w:val="24"/>
        </w:rPr>
      </w:pPr>
      <w:r w:rsidRPr="00A83B39">
        <w:rPr>
          <w:rFonts w:ascii="TimesNewRoman" w:hAnsi="TimesNewRoman" w:cs="TimesNewRoman"/>
          <w:sz w:val="24"/>
          <w:szCs w:val="24"/>
        </w:rPr>
        <w:t>Ainsi:</w:t>
      </w:r>
    </w:p>
    <w:p w:rsidR="00A777C1" w:rsidRPr="00A83B39" w:rsidRDefault="00A777C1" w:rsidP="00B62195">
      <w:pPr>
        <w:autoSpaceDE w:val="0"/>
        <w:autoSpaceDN w:val="0"/>
        <w:adjustRightInd w:val="0"/>
        <w:jc w:val="left"/>
        <w:rPr>
          <w:rFonts w:ascii="TimesNewRoman" w:hAnsi="TimesNewRoman" w:cs="TimesNewRoman"/>
          <w:sz w:val="24"/>
          <w:szCs w:val="24"/>
        </w:rPr>
      </w:pPr>
    </w:p>
    <w:p w:rsidR="00A777C1" w:rsidRPr="0004651B" w:rsidRDefault="00D70B17" w:rsidP="00A777C1">
      <w:pPr>
        <w:autoSpaceDE w:val="0"/>
        <w:autoSpaceDN w:val="0"/>
        <w:adjustRightInd w:val="0"/>
        <w:jc w:val="left"/>
        <w:rPr>
          <w:rFonts w:ascii="TimesNewRoman" w:hAnsi="TimesNewRoman" w:cs="TimesNewRoman"/>
          <w:sz w:val="24"/>
          <w:szCs w:val="24"/>
        </w:rPr>
      </w:pPr>
      <m:oMathPara>
        <m:oMath>
          <m:d>
            <m:dPr>
              <m:begChr m:val="{"/>
              <m:endChr m:val=""/>
              <m:ctrlPr>
                <w:rPr>
                  <w:rFonts w:ascii="Cambria Math" w:hAnsi="Cambria Math" w:cs="TimesNewRoman"/>
                  <w:i/>
                  <w:sz w:val="24"/>
                  <w:szCs w:val="24"/>
                </w:rPr>
              </m:ctrlPr>
            </m:dPr>
            <m:e>
              <m:eqArr>
                <m:eqArrPr>
                  <m:ctrlPr>
                    <w:rPr>
                      <w:rFonts w:ascii="Cambria Math" w:hAnsi="Cambria Math" w:cs="TimesNewRoman"/>
                      <w:i/>
                      <w:sz w:val="24"/>
                      <w:szCs w:val="24"/>
                    </w:rPr>
                  </m:ctrlPr>
                </m:eqArrPr>
                <m:e>
                  <m:eqArr>
                    <m:eqArrPr>
                      <m:ctrlPr>
                        <w:rPr>
                          <w:rFonts w:ascii="Cambria Math" w:hAnsi="Cambria Math" w:cs="TimesNewRoman"/>
                          <w:i/>
                          <w:sz w:val="24"/>
                          <w:szCs w:val="24"/>
                        </w:rPr>
                      </m:ctrlPr>
                    </m:eqArrPr>
                    <m:e>
                      <m:sSub>
                        <m:sSubPr>
                          <m:ctrlPr>
                            <w:rPr>
                              <w:rFonts w:ascii="Cambria Math" w:hAnsi="Cambria Math" w:cs="TimesNewRoman"/>
                              <w:i/>
                              <w:sz w:val="24"/>
                              <w:szCs w:val="24"/>
                            </w:rPr>
                          </m:ctrlPr>
                        </m:sSubPr>
                        <m:e>
                          <m:r>
                            <w:rPr>
                              <w:rFonts w:ascii="Cambria Math" w:hAnsi="Cambria Math" w:cs="TimesNewRoman"/>
                              <w:sz w:val="24"/>
                              <w:szCs w:val="24"/>
                            </w:rPr>
                            <m:t>M</m:t>
                          </m:r>
                        </m:e>
                        <m:sub>
                          <m:r>
                            <w:rPr>
                              <w:rFonts w:ascii="Cambria Math" w:hAnsi="Cambria Math" w:cs="TimesNewRoman"/>
                              <w:sz w:val="24"/>
                              <w:szCs w:val="24"/>
                            </w:rPr>
                            <m:t>T</m:t>
                          </m:r>
                        </m:sub>
                      </m:sSub>
                      <m:r>
                        <w:rPr>
                          <w:rFonts w:ascii="Cambria Math" w:hAnsi="Cambria Math" w:cs="TimesNewRoman"/>
                          <w:sz w:val="24"/>
                          <w:szCs w:val="24"/>
                        </w:rPr>
                        <m:t>=1 787</m:t>
                      </m:r>
                    </m:e>
                    <m:e>
                      <m:r>
                        <w:rPr>
                          <w:rFonts w:ascii="Cambria Math" w:hAnsi="Cambria Math" w:cs="TimesNewRoman"/>
                          <w:sz w:val="24"/>
                          <w:szCs w:val="24"/>
                        </w:rPr>
                        <m:t xml:space="preserve"> </m:t>
                      </m:r>
                    </m:e>
                  </m:eqArr>
                </m:e>
                <m:e>
                  <m:sSub>
                    <m:sSubPr>
                      <m:ctrlPr>
                        <w:rPr>
                          <w:rFonts w:ascii="Cambria Math" w:hAnsi="Cambria Math" w:cs="TimesNewRoman"/>
                          <w:i/>
                          <w:sz w:val="24"/>
                          <w:szCs w:val="24"/>
                        </w:rPr>
                      </m:ctrlPr>
                    </m:sSubPr>
                    <m:e>
                      <m:r>
                        <w:rPr>
                          <w:rFonts w:ascii="Cambria Math" w:hAnsi="Cambria Math" w:cs="TimesNewRoman"/>
                          <w:sz w:val="24"/>
                          <w:szCs w:val="24"/>
                        </w:rPr>
                        <m:t>T</m:t>
                      </m:r>
                    </m:e>
                    <m:sub>
                      <m:r>
                        <w:rPr>
                          <w:rFonts w:ascii="Cambria Math" w:hAnsi="Cambria Math" w:cs="TimesNewRoman"/>
                          <w:sz w:val="24"/>
                          <w:szCs w:val="24"/>
                        </w:rPr>
                        <m:t>T</m:t>
                      </m:r>
                    </m:sub>
                  </m:sSub>
                  <m:r>
                    <w:rPr>
                      <w:rFonts w:ascii="Cambria Math" w:hAnsi="Cambria Math" w:cs="TimesNewRoman"/>
                      <w:sz w:val="24"/>
                      <w:szCs w:val="24"/>
                    </w:rPr>
                    <m:t>=1 436</m:t>
                  </m:r>
                </m:e>
              </m:eqArr>
            </m:e>
          </m:d>
        </m:oMath>
      </m:oMathPara>
    </w:p>
    <w:p w:rsidR="00A777C1" w:rsidRPr="00A83B39" w:rsidRDefault="00A777C1" w:rsidP="00B62195">
      <w:pPr>
        <w:autoSpaceDE w:val="0"/>
        <w:autoSpaceDN w:val="0"/>
        <w:adjustRightInd w:val="0"/>
        <w:jc w:val="left"/>
        <w:rPr>
          <w:rFonts w:ascii="TimesNewRoman" w:hAnsi="TimesNewRoman" w:cs="TimesNewRoman"/>
          <w:sz w:val="24"/>
          <w:szCs w:val="24"/>
        </w:rPr>
      </w:pPr>
    </w:p>
    <w:p w:rsidR="00401785" w:rsidRPr="00A83B39" w:rsidRDefault="00C25788" w:rsidP="00745725">
      <w:pPr>
        <w:autoSpaceDE w:val="0"/>
        <w:autoSpaceDN w:val="0"/>
        <w:adjustRightInd w:val="0"/>
        <w:rPr>
          <w:rFonts w:ascii="TimesNewRoman" w:hAnsi="TimesNewRoman" w:cs="TimesNewRoman"/>
          <w:sz w:val="24"/>
          <w:szCs w:val="24"/>
        </w:rPr>
      </w:pPr>
      <w:r w:rsidRPr="00A83B39">
        <w:rPr>
          <w:rFonts w:ascii="TimesNewRoman" w:hAnsi="TimesNewRoman" w:cs="TimesNewRoman"/>
          <w:sz w:val="24"/>
          <w:szCs w:val="24"/>
        </w:rPr>
        <w:t xml:space="preserve">Puis, on déverse les montant Mt et Tt en A et D pour obtenir </w:t>
      </w:r>
      <w:r w:rsidR="00ED08F7" w:rsidRPr="00A83B39">
        <w:rPr>
          <w:rFonts w:ascii="TimesNewRoman" w:hAnsi="TimesNewRoman" w:cs="TimesNewRoman"/>
          <w:sz w:val="24"/>
          <w:szCs w:val="24"/>
        </w:rPr>
        <w:t>les montants</w:t>
      </w:r>
      <w:r w:rsidRPr="00A83B39">
        <w:rPr>
          <w:rFonts w:ascii="TimesNewRoman" w:hAnsi="TimesNewRoman" w:cs="TimesNewRoman"/>
          <w:sz w:val="24"/>
          <w:szCs w:val="24"/>
        </w:rPr>
        <w:t xml:space="preserve"> à l'état final:</w:t>
      </w:r>
    </w:p>
    <w:p w:rsidR="00C25788" w:rsidRPr="00A83B39" w:rsidRDefault="00C25788" w:rsidP="00401785">
      <w:pPr>
        <w:autoSpaceDE w:val="0"/>
        <w:autoSpaceDN w:val="0"/>
        <w:adjustRightInd w:val="0"/>
        <w:jc w:val="left"/>
        <w:rPr>
          <w:rFonts w:ascii="TimesNewRoman" w:hAnsi="TimesNewRoman" w:cs="TimesNewRoman"/>
          <w:sz w:val="24"/>
          <w:szCs w:val="24"/>
        </w:rPr>
      </w:pPr>
    </w:p>
    <w:p w:rsidR="00C25788" w:rsidRPr="00A83B39" w:rsidRDefault="00C25788" w:rsidP="000B2A58">
      <w:pPr>
        <w:autoSpaceDE w:val="0"/>
        <w:autoSpaceDN w:val="0"/>
        <w:adjustRightInd w:val="0"/>
        <w:jc w:val="center"/>
        <w:rPr>
          <w:rFonts w:ascii="TimesNewRoman" w:hAnsi="TimesNewRoman" w:cs="TimesNewRoman"/>
          <w:sz w:val="24"/>
          <w:szCs w:val="24"/>
        </w:rPr>
      </w:pPr>
      <w:r w:rsidRPr="00A83B39">
        <w:rPr>
          <w:rFonts w:ascii="TimesNewRoman" w:hAnsi="TimesNewRoman" w:cs="TimesNewRoman"/>
          <w:sz w:val="24"/>
          <w:szCs w:val="24"/>
        </w:rPr>
        <w:t>A = 1 000 + 50%M</w:t>
      </w:r>
      <w:r w:rsidRPr="00A83B39">
        <w:rPr>
          <w:rFonts w:ascii="TimesNewRoman" w:hAnsi="TimesNewRoman" w:cs="TimesNewRoman"/>
          <w:sz w:val="24"/>
          <w:szCs w:val="24"/>
          <w:vertAlign w:val="subscript"/>
        </w:rPr>
        <w:t>T</w:t>
      </w:r>
      <w:r w:rsidRPr="00A83B39">
        <w:rPr>
          <w:rFonts w:ascii="TimesNewRoman" w:hAnsi="TimesNewRoman" w:cs="TimesNewRoman"/>
          <w:sz w:val="24"/>
          <w:szCs w:val="24"/>
        </w:rPr>
        <w:t xml:space="preserve"> +40%T</w:t>
      </w:r>
      <w:r w:rsidRPr="00A83B39">
        <w:rPr>
          <w:rFonts w:ascii="TimesNewRoman" w:hAnsi="TimesNewRoman" w:cs="TimesNewRoman"/>
          <w:sz w:val="24"/>
          <w:szCs w:val="24"/>
          <w:vertAlign w:val="subscript"/>
        </w:rPr>
        <w:t xml:space="preserve">T </w:t>
      </w:r>
      <w:r w:rsidRPr="00A83B39">
        <w:rPr>
          <w:rFonts w:ascii="TimesNewRoman" w:hAnsi="TimesNewRoman" w:cs="TimesNewRoman"/>
          <w:sz w:val="24"/>
          <w:szCs w:val="24"/>
        </w:rPr>
        <w:t xml:space="preserve">= </w:t>
      </w:r>
      <w:r w:rsidR="000B2A58" w:rsidRPr="00A83B39">
        <w:rPr>
          <w:rFonts w:ascii="TimesNewRoman" w:hAnsi="TimesNewRoman" w:cs="TimesNewRoman"/>
          <w:sz w:val="24"/>
          <w:szCs w:val="24"/>
        </w:rPr>
        <w:t>2 468</w:t>
      </w:r>
    </w:p>
    <w:p w:rsidR="004B3FA5" w:rsidRPr="00A83B39" w:rsidRDefault="00ED08F7" w:rsidP="000B2A58">
      <w:pPr>
        <w:autoSpaceDE w:val="0"/>
        <w:autoSpaceDN w:val="0"/>
        <w:adjustRightInd w:val="0"/>
        <w:jc w:val="center"/>
        <w:rPr>
          <w:rFonts w:ascii="TimesNewRoman" w:hAnsi="TimesNewRoman" w:cs="TimesNewRoman"/>
          <w:sz w:val="24"/>
          <w:szCs w:val="24"/>
        </w:rPr>
      </w:pPr>
      <w:r w:rsidRPr="00A83B39">
        <w:rPr>
          <w:rFonts w:ascii="TimesNewRoman" w:hAnsi="TimesNewRoman" w:cs="TimesNewRoman"/>
          <w:sz w:val="24"/>
          <w:szCs w:val="24"/>
        </w:rPr>
        <w:t>Et</w:t>
      </w:r>
      <w:r w:rsidR="000B2A58" w:rsidRPr="00A83B39">
        <w:rPr>
          <w:rFonts w:ascii="TimesNewRoman" w:hAnsi="TimesNewRoman" w:cs="TimesNewRoman"/>
          <w:sz w:val="24"/>
          <w:szCs w:val="24"/>
        </w:rPr>
        <w:t xml:space="preserve"> </w:t>
      </w:r>
      <w:r w:rsidR="00C25788" w:rsidRPr="00A83B39">
        <w:rPr>
          <w:rFonts w:ascii="TimesNewRoman" w:hAnsi="TimesNewRoman" w:cs="TimesNewRoman"/>
          <w:sz w:val="24"/>
          <w:szCs w:val="24"/>
        </w:rPr>
        <w:t>D = 300 + 20%M</w:t>
      </w:r>
      <w:r w:rsidR="00C25788" w:rsidRPr="00A83B39">
        <w:rPr>
          <w:rFonts w:ascii="TimesNewRoman" w:hAnsi="TimesNewRoman" w:cs="TimesNewRoman"/>
          <w:sz w:val="24"/>
          <w:szCs w:val="24"/>
          <w:vertAlign w:val="subscript"/>
        </w:rPr>
        <w:t>T</w:t>
      </w:r>
      <w:r w:rsidR="00C25788" w:rsidRPr="00A83B39">
        <w:rPr>
          <w:rFonts w:ascii="TimesNewRoman" w:hAnsi="TimesNewRoman" w:cs="TimesNewRoman"/>
          <w:sz w:val="24"/>
          <w:szCs w:val="24"/>
        </w:rPr>
        <w:t xml:space="preserve"> +40%T</w:t>
      </w:r>
      <w:r w:rsidR="00C25788" w:rsidRPr="00A83B39">
        <w:rPr>
          <w:rFonts w:ascii="TimesNewRoman" w:hAnsi="TimesNewRoman" w:cs="TimesNewRoman"/>
          <w:sz w:val="24"/>
          <w:szCs w:val="24"/>
          <w:vertAlign w:val="subscript"/>
        </w:rPr>
        <w:t>T</w:t>
      </w:r>
      <w:r w:rsidR="000B2A58" w:rsidRPr="00A83B39">
        <w:rPr>
          <w:rFonts w:ascii="TimesNewRoman" w:hAnsi="TimesNewRoman" w:cs="TimesNewRoman"/>
          <w:sz w:val="24"/>
          <w:szCs w:val="24"/>
          <w:vertAlign w:val="subscript"/>
        </w:rPr>
        <w:t xml:space="preserve"> </w:t>
      </w:r>
      <w:r w:rsidR="000B2A58" w:rsidRPr="00A83B39">
        <w:rPr>
          <w:rFonts w:ascii="TimesNewRoman" w:hAnsi="TimesNewRoman" w:cs="TimesNewRoman"/>
          <w:sz w:val="24"/>
          <w:szCs w:val="24"/>
        </w:rPr>
        <w:t>= 1</w:t>
      </w:r>
      <w:r w:rsidR="00806FB8">
        <w:rPr>
          <w:rFonts w:ascii="TimesNewRoman" w:hAnsi="TimesNewRoman" w:cs="TimesNewRoman"/>
          <w:sz w:val="24"/>
          <w:szCs w:val="24"/>
        </w:rPr>
        <w:t> </w:t>
      </w:r>
      <w:r w:rsidR="000B2A58" w:rsidRPr="00A83B39">
        <w:rPr>
          <w:rFonts w:ascii="TimesNewRoman" w:hAnsi="TimesNewRoman" w:cs="TimesNewRoman"/>
          <w:sz w:val="24"/>
          <w:szCs w:val="24"/>
        </w:rPr>
        <w:t>232</w:t>
      </w:r>
    </w:p>
    <w:p w:rsidR="004B3FA5" w:rsidRDefault="004B3FA5">
      <w:pPr>
        <w:jc w:val="left"/>
        <w:rPr>
          <w:rFonts w:ascii="TimesNewRoman" w:hAnsi="TimesNewRoman" w:cs="TimesNewRoman"/>
          <w:sz w:val="24"/>
          <w:szCs w:val="24"/>
        </w:rPr>
      </w:pPr>
    </w:p>
    <w:p w:rsidR="00806FB8" w:rsidRDefault="00806FB8">
      <w:pPr>
        <w:jc w:val="left"/>
        <w:rPr>
          <w:rFonts w:ascii="TimesNewRoman" w:hAnsi="TimesNewRoman" w:cs="TimesNewRoman"/>
          <w:sz w:val="24"/>
          <w:szCs w:val="24"/>
        </w:rPr>
      </w:pPr>
    </w:p>
    <w:p w:rsidR="00806FB8" w:rsidRDefault="00806FB8">
      <w:pPr>
        <w:jc w:val="left"/>
        <w:rPr>
          <w:rFonts w:ascii="TimesNewRoman" w:hAnsi="TimesNewRoman" w:cs="TimesNewRoman"/>
          <w:sz w:val="24"/>
          <w:szCs w:val="24"/>
        </w:rPr>
      </w:pPr>
    </w:p>
    <w:p w:rsidR="00806FB8" w:rsidRDefault="00806FB8">
      <w:pPr>
        <w:jc w:val="left"/>
        <w:rPr>
          <w:rFonts w:ascii="TimesNewRoman" w:hAnsi="TimesNewRoman" w:cs="TimesNewRoman"/>
          <w:sz w:val="24"/>
          <w:szCs w:val="24"/>
        </w:rPr>
      </w:pPr>
    </w:p>
    <w:p w:rsidR="00806FB8" w:rsidRDefault="00806FB8">
      <w:pPr>
        <w:jc w:val="left"/>
        <w:rPr>
          <w:rFonts w:ascii="TimesNewRoman" w:hAnsi="TimesNewRoman" w:cs="TimesNewRoman"/>
          <w:sz w:val="24"/>
          <w:szCs w:val="24"/>
        </w:rPr>
      </w:pPr>
    </w:p>
    <w:p w:rsidR="00806FB8" w:rsidRDefault="00806FB8">
      <w:pPr>
        <w:jc w:val="left"/>
        <w:rPr>
          <w:rFonts w:ascii="TimesNewRoman" w:hAnsi="TimesNewRoman" w:cs="TimesNewRoman"/>
          <w:sz w:val="24"/>
          <w:szCs w:val="24"/>
        </w:rPr>
      </w:pPr>
    </w:p>
    <w:p w:rsidR="00806FB8" w:rsidRDefault="00806FB8">
      <w:pPr>
        <w:jc w:val="left"/>
        <w:rPr>
          <w:rFonts w:ascii="TimesNewRoman" w:hAnsi="TimesNewRoman" w:cs="TimesNewRoman"/>
          <w:sz w:val="24"/>
          <w:szCs w:val="24"/>
        </w:rPr>
      </w:pPr>
    </w:p>
    <w:p w:rsidR="00806FB8" w:rsidRDefault="00806FB8">
      <w:pPr>
        <w:jc w:val="left"/>
        <w:rPr>
          <w:rFonts w:ascii="TimesNewRoman" w:hAnsi="TimesNewRoman" w:cs="TimesNewRoman"/>
          <w:sz w:val="24"/>
          <w:szCs w:val="24"/>
        </w:rPr>
      </w:pPr>
    </w:p>
    <w:p w:rsidR="00806FB8" w:rsidRDefault="00806FB8">
      <w:pPr>
        <w:jc w:val="left"/>
        <w:rPr>
          <w:rFonts w:ascii="TimesNewRoman" w:hAnsi="TimesNewRoman" w:cs="TimesNewRoman"/>
          <w:sz w:val="24"/>
          <w:szCs w:val="24"/>
        </w:rPr>
      </w:pPr>
    </w:p>
    <w:p w:rsidR="00806FB8" w:rsidRDefault="00806FB8">
      <w:pPr>
        <w:jc w:val="left"/>
        <w:rPr>
          <w:rFonts w:ascii="TimesNewRoman" w:hAnsi="TimesNewRoman" w:cs="TimesNewRoman"/>
          <w:sz w:val="24"/>
          <w:szCs w:val="24"/>
        </w:rPr>
      </w:pPr>
    </w:p>
    <w:p w:rsidR="00806FB8" w:rsidRDefault="00806FB8">
      <w:pPr>
        <w:jc w:val="left"/>
        <w:rPr>
          <w:rFonts w:ascii="TimesNewRoman" w:hAnsi="TimesNewRoman" w:cs="TimesNewRoman"/>
          <w:sz w:val="24"/>
          <w:szCs w:val="24"/>
        </w:rPr>
      </w:pPr>
    </w:p>
    <w:p w:rsidR="00806FB8" w:rsidRDefault="00806FB8">
      <w:pPr>
        <w:jc w:val="left"/>
        <w:rPr>
          <w:rFonts w:ascii="TimesNewRoman" w:hAnsi="TimesNewRoman" w:cs="TimesNewRoman"/>
          <w:sz w:val="24"/>
          <w:szCs w:val="24"/>
        </w:rPr>
      </w:pPr>
    </w:p>
    <w:p w:rsidR="00806FB8" w:rsidRPr="00A83B39" w:rsidRDefault="00806FB8" w:rsidP="00806FB8"/>
    <w:p w:rsidR="00806FB8" w:rsidRPr="00A83B39" w:rsidRDefault="00806FB8" w:rsidP="00806FB8"/>
    <w:p w:rsidR="00806FB8" w:rsidRPr="00A83B39" w:rsidRDefault="00806FB8" w:rsidP="00806FB8">
      <w:pPr>
        <w:pBdr>
          <w:top w:val="single" w:sz="4" w:space="1" w:color="auto"/>
          <w:left w:val="single" w:sz="4" w:space="4" w:color="auto"/>
          <w:bottom w:val="single" w:sz="4" w:space="1" w:color="auto"/>
          <w:right w:val="single" w:sz="4" w:space="4" w:color="auto"/>
        </w:pBdr>
        <w:jc w:val="center"/>
        <w:outlineLvl w:val="0"/>
        <w:rPr>
          <w:sz w:val="28"/>
        </w:rPr>
      </w:pPr>
      <w:r w:rsidRPr="00A83B39">
        <w:br w:type="page"/>
      </w:r>
      <w:bookmarkStart w:id="20" w:name="_Toc351126741"/>
      <w:r w:rsidRPr="00A83B39">
        <w:rPr>
          <w:sz w:val="28"/>
        </w:rPr>
        <w:lastRenderedPageBreak/>
        <w:t>Partie 2 : Le suivi de l’activité d’une compagnie d’assurance</w:t>
      </w:r>
      <w:bookmarkEnd w:id="20"/>
    </w:p>
    <w:p w:rsidR="00806FB8" w:rsidRPr="00A83B39" w:rsidRDefault="00806FB8" w:rsidP="00806FB8">
      <w:pPr>
        <w:autoSpaceDE w:val="0"/>
        <w:autoSpaceDN w:val="0"/>
        <w:adjustRightInd w:val="0"/>
        <w:jc w:val="center"/>
        <w:rPr>
          <w:sz w:val="28"/>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rPr>
          <w:sz w:val="24"/>
          <w:szCs w:val="24"/>
        </w:rPr>
      </w:pPr>
      <w:r w:rsidRPr="00A83B39">
        <w:rPr>
          <w:sz w:val="24"/>
          <w:szCs w:val="24"/>
        </w:rPr>
        <w:t>Les états financiers d’une compagnie d’assurance sont composés :</w:t>
      </w:r>
    </w:p>
    <w:p w:rsidR="00806FB8" w:rsidRPr="00A83B39" w:rsidRDefault="00806FB8" w:rsidP="00806FB8">
      <w:pPr>
        <w:pStyle w:val="ListParagraph"/>
        <w:numPr>
          <w:ilvl w:val="0"/>
          <w:numId w:val="28"/>
        </w:numPr>
        <w:autoSpaceDE w:val="0"/>
        <w:autoSpaceDN w:val="0"/>
        <w:adjustRightInd w:val="0"/>
        <w:rPr>
          <w:sz w:val="24"/>
          <w:szCs w:val="24"/>
        </w:rPr>
      </w:pPr>
      <w:r w:rsidRPr="00A83B39">
        <w:rPr>
          <w:sz w:val="24"/>
          <w:szCs w:val="24"/>
        </w:rPr>
        <w:t>du bilan ;</w:t>
      </w:r>
    </w:p>
    <w:p w:rsidR="00806FB8" w:rsidRPr="00A83B39" w:rsidRDefault="00806FB8" w:rsidP="00806FB8">
      <w:pPr>
        <w:pStyle w:val="ListParagraph"/>
        <w:numPr>
          <w:ilvl w:val="0"/>
          <w:numId w:val="28"/>
        </w:numPr>
        <w:autoSpaceDE w:val="0"/>
        <w:autoSpaceDN w:val="0"/>
        <w:adjustRightInd w:val="0"/>
        <w:rPr>
          <w:sz w:val="24"/>
          <w:szCs w:val="24"/>
        </w:rPr>
      </w:pPr>
      <w:r w:rsidRPr="00A83B39">
        <w:rPr>
          <w:sz w:val="24"/>
          <w:szCs w:val="24"/>
        </w:rPr>
        <w:t>du compte de résultat lui-même séparé entre un compte de résultat technique (vie ou</w:t>
      </w:r>
    </w:p>
    <w:p w:rsidR="00806FB8" w:rsidRPr="00A83B39" w:rsidRDefault="00806FB8" w:rsidP="00806FB8">
      <w:pPr>
        <w:pStyle w:val="ListParagraph"/>
        <w:numPr>
          <w:ilvl w:val="0"/>
          <w:numId w:val="28"/>
        </w:numPr>
        <w:autoSpaceDE w:val="0"/>
        <w:autoSpaceDN w:val="0"/>
        <w:adjustRightInd w:val="0"/>
        <w:rPr>
          <w:sz w:val="24"/>
          <w:szCs w:val="24"/>
        </w:rPr>
      </w:pPr>
      <w:r w:rsidRPr="00A83B39">
        <w:rPr>
          <w:sz w:val="24"/>
          <w:szCs w:val="24"/>
        </w:rPr>
        <w:t>non vie ou les deux) et un compte de résultat non technique ;</w:t>
      </w:r>
    </w:p>
    <w:p w:rsidR="00806FB8" w:rsidRDefault="00806FB8" w:rsidP="00806FB8">
      <w:pPr>
        <w:pStyle w:val="ListParagraph"/>
        <w:numPr>
          <w:ilvl w:val="0"/>
          <w:numId w:val="28"/>
        </w:numPr>
        <w:autoSpaceDE w:val="0"/>
        <w:autoSpaceDN w:val="0"/>
        <w:adjustRightInd w:val="0"/>
        <w:rPr>
          <w:sz w:val="24"/>
          <w:szCs w:val="24"/>
        </w:rPr>
      </w:pPr>
      <w:r w:rsidRPr="00A83B39">
        <w:rPr>
          <w:sz w:val="24"/>
          <w:szCs w:val="24"/>
        </w:rPr>
        <w:t>de l’annexe aux comptes.</w:t>
      </w:r>
    </w:p>
    <w:p w:rsidR="00806FB8" w:rsidRDefault="00806FB8" w:rsidP="00806FB8">
      <w:pPr>
        <w:autoSpaceDE w:val="0"/>
        <w:autoSpaceDN w:val="0"/>
        <w:adjustRightInd w:val="0"/>
        <w:rPr>
          <w:sz w:val="24"/>
          <w:szCs w:val="24"/>
        </w:rPr>
      </w:pPr>
    </w:p>
    <w:p w:rsidR="00806FB8" w:rsidRPr="00304D51" w:rsidRDefault="00806FB8" w:rsidP="00806FB8">
      <w:pPr>
        <w:spacing w:before="100" w:beforeAutospacing="1" w:after="100" w:afterAutospacing="1"/>
        <w:rPr>
          <w:b/>
          <w:sz w:val="24"/>
          <w:szCs w:val="24"/>
          <w:u w:val="single"/>
        </w:rPr>
      </w:pPr>
      <w:r w:rsidRPr="00304D51">
        <w:rPr>
          <w:b/>
          <w:sz w:val="24"/>
          <w:szCs w:val="24"/>
          <w:u w:val="single"/>
        </w:rPr>
        <w:t>Plan de la partie :</w:t>
      </w:r>
    </w:p>
    <w:p w:rsidR="00806FB8" w:rsidRPr="00A83B39" w:rsidRDefault="00806FB8" w:rsidP="00806FB8">
      <w:pPr>
        <w:numPr>
          <w:ilvl w:val="0"/>
          <w:numId w:val="7"/>
        </w:numPr>
        <w:spacing w:before="100" w:beforeAutospacing="1" w:after="100" w:afterAutospacing="1"/>
        <w:rPr>
          <w:sz w:val="24"/>
          <w:szCs w:val="24"/>
        </w:rPr>
      </w:pPr>
      <w:r w:rsidRPr="00A83B39">
        <w:rPr>
          <w:sz w:val="24"/>
          <w:szCs w:val="24"/>
        </w:rPr>
        <w:t>Le bilan, le compte de résultat</w:t>
      </w:r>
    </w:p>
    <w:p w:rsidR="00806FB8" w:rsidRPr="00A83B39" w:rsidRDefault="00806FB8" w:rsidP="00806FB8">
      <w:pPr>
        <w:numPr>
          <w:ilvl w:val="0"/>
          <w:numId w:val="7"/>
        </w:numPr>
        <w:spacing w:before="100" w:beforeAutospacing="1" w:after="100" w:afterAutospacing="1"/>
        <w:rPr>
          <w:sz w:val="24"/>
          <w:szCs w:val="24"/>
        </w:rPr>
      </w:pPr>
      <w:r w:rsidRPr="00A83B39">
        <w:rPr>
          <w:sz w:val="24"/>
          <w:szCs w:val="24"/>
        </w:rPr>
        <w:t>Les ratios usuels</w:t>
      </w:r>
    </w:p>
    <w:p w:rsidR="00806FB8" w:rsidRPr="00A83B39" w:rsidRDefault="00806FB8" w:rsidP="00806FB8">
      <w:pPr>
        <w:numPr>
          <w:ilvl w:val="0"/>
          <w:numId w:val="7"/>
        </w:numPr>
        <w:spacing w:before="100" w:beforeAutospacing="1" w:after="100" w:afterAutospacing="1"/>
        <w:rPr>
          <w:sz w:val="24"/>
          <w:szCs w:val="24"/>
        </w:rPr>
      </w:pPr>
      <w:r w:rsidRPr="00A83B39">
        <w:rPr>
          <w:sz w:val="24"/>
          <w:szCs w:val="24"/>
        </w:rPr>
        <w:t>Les ratios prudentiels</w:t>
      </w:r>
    </w:p>
    <w:p w:rsidR="00806FB8" w:rsidRDefault="00806FB8" w:rsidP="00806FB8">
      <w:pPr>
        <w:numPr>
          <w:ilvl w:val="0"/>
          <w:numId w:val="7"/>
        </w:numPr>
        <w:spacing w:before="100" w:beforeAutospacing="1" w:after="100" w:afterAutospacing="1"/>
        <w:rPr>
          <w:sz w:val="24"/>
          <w:szCs w:val="24"/>
        </w:rPr>
      </w:pPr>
      <w:r w:rsidRPr="00A83B39">
        <w:rPr>
          <w:sz w:val="24"/>
          <w:szCs w:val="24"/>
        </w:rPr>
        <w:t>Les tableaux de bord</w:t>
      </w:r>
    </w:p>
    <w:p w:rsidR="00806FB8" w:rsidRPr="00304D51"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p>
    <w:p w:rsidR="00806FB8" w:rsidRPr="00A83B39" w:rsidRDefault="00806FB8" w:rsidP="00806FB8">
      <w:pPr>
        <w:pStyle w:val="ListParagraph"/>
        <w:numPr>
          <w:ilvl w:val="0"/>
          <w:numId w:val="11"/>
        </w:numPr>
        <w:ind w:left="357" w:hanging="357"/>
        <w:contextualSpacing w:val="0"/>
        <w:outlineLvl w:val="1"/>
        <w:rPr>
          <w:sz w:val="28"/>
        </w:rPr>
      </w:pPr>
      <w:bookmarkStart w:id="21" w:name="_Toc351126742"/>
      <w:r w:rsidRPr="00A83B39">
        <w:rPr>
          <w:sz w:val="28"/>
        </w:rPr>
        <w:t>Étude du bilan et du compte de résultat d'une compagnie d'assurance</w:t>
      </w:r>
      <w:bookmarkEnd w:id="21"/>
    </w:p>
    <w:p w:rsidR="00806FB8" w:rsidRPr="00A83B39" w:rsidRDefault="00806FB8" w:rsidP="00806FB8">
      <w:pPr>
        <w:autoSpaceDE w:val="0"/>
        <w:autoSpaceDN w:val="0"/>
        <w:adjustRightInd w:val="0"/>
        <w:jc w:val="left"/>
        <w:rPr>
          <w:sz w:val="28"/>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1"/>
          <w:numId w:val="12"/>
        </w:numPr>
        <w:ind w:left="788" w:hanging="431"/>
        <w:contextualSpacing w:val="0"/>
        <w:outlineLvl w:val="2"/>
        <w:rPr>
          <w:sz w:val="28"/>
        </w:rPr>
      </w:pPr>
      <w:r w:rsidRPr="00A83B39">
        <w:rPr>
          <w:sz w:val="28"/>
        </w:rPr>
        <w:t xml:space="preserve"> </w:t>
      </w:r>
      <w:bookmarkStart w:id="22" w:name="_Toc351126743"/>
      <w:r w:rsidRPr="00A83B39">
        <w:rPr>
          <w:sz w:val="28"/>
        </w:rPr>
        <w:t>Le bilan</w:t>
      </w:r>
      <w:bookmarkEnd w:id="22"/>
    </w:p>
    <w:p w:rsidR="00806FB8" w:rsidRPr="00A83B39" w:rsidRDefault="00806FB8" w:rsidP="00806FB8">
      <w:pPr>
        <w:autoSpaceDE w:val="0"/>
        <w:autoSpaceDN w:val="0"/>
        <w:adjustRightInd w:val="0"/>
        <w:jc w:val="left"/>
        <w:rPr>
          <w:sz w:val="28"/>
        </w:rPr>
      </w:pPr>
    </w:p>
    <w:p w:rsidR="00806FB8" w:rsidRPr="00A83B39" w:rsidRDefault="00806FB8" w:rsidP="00806FB8">
      <w:pPr>
        <w:autoSpaceDE w:val="0"/>
        <w:autoSpaceDN w:val="0"/>
        <w:adjustRightInd w:val="0"/>
        <w:rPr>
          <w:sz w:val="24"/>
          <w:szCs w:val="24"/>
        </w:rPr>
      </w:pPr>
      <w:r w:rsidRPr="00A83B39">
        <w:rPr>
          <w:sz w:val="24"/>
          <w:szCs w:val="24"/>
        </w:rPr>
        <w:t>Le bilan de l’entreprise représente l’état du patrimoine. Il s’agit « de la photographie de l’entreprise à un moment donné, les comptes de résultat étant le film des mouvements intervenus dans la situation patrimoniale entre deux bilans. » (Guy Simonet - La comptabilité des entreprises d’assurance - p13).</w:t>
      </w:r>
    </w:p>
    <w:p w:rsidR="00806FB8" w:rsidRPr="00A83B39" w:rsidRDefault="00806FB8" w:rsidP="00806FB8">
      <w:pPr>
        <w:autoSpaceDE w:val="0"/>
        <w:autoSpaceDN w:val="0"/>
        <w:adjustRightInd w:val="0"/>
        <w:rPr>
          <w:sz w:val="24"/>
          <w:szCs w:val="24"/>
        </w:rPr>
      </w:pPr>
      <w:r w:rsidRPr="00A83B39">
        <w:rPr>
          <w:sz w:val="24"/>
          <w:szCs w:val="24"/>
        </w:rPr>
        <w:t>Du fait de l’inversion du cycle de production, le bilan d’une entreprise d’assurance présente des caractéristiques fortes par rapport à une entreprise traditionnelle:</w:t>
      </w:r>
    </w:p>
    <w:p w:rsidR="00806FB8" w:rsidRPr="00A83B39" w:rsidRDefault="00806FB8" w:rsidP="00806FB8">
      <w:pPr>
        <w:pStyle w:val="ListParagraph"/>
        <w:numPr>
          <w:ilvl w:val="0"/>
          <w:numId w:val="27"/>
        </w:numPr>
        <w:autoSpaceDE w:val="0"/>
        <w:autoSpaceDN w:val="0"/>
        <w:adjustRightInd w:val="0"/>
        <w:rPr>
          <w:sz w:val="24"/>
          <w:szCs w:val="24"/>
        </w:rPr>
      </w:pPr>
      <w:r w:rsidRPr="00A83B39">
        <w:rPr>
          <w:sz w:val="24"/>
          <w:szCs w:val="24"/>
        </w:rPr>
        <w:t>à l’actif le montant des placements est extrêmement significatif ;</w:t>
      </w:r>
    </w:p>
    <w:p w:rsidR="00806FB8" w:rsidRPr="00A83B39" w:rsidRDefault="00806FB8" w:rsidP="00806FB8">
      <w:pPr>
        <w:pStyle w:val="ListParagraph"/>
        <w:numPr>
          <w:ilvl w:val="0"/>
          <w:numId w:val="27"/>
        </w:numPr>
        <w:autoSpaceDE w:val="0"/>
        <w:autoSpaceDN w:val="0"/>
        <w:adjustRightInd w:val="0"/>
        <w:rPr>
          <w:sz w:val="24"/>
          <w:szCs w:val="24"/>
        </w:rPr>
      </w:pPr>
      <w:r w:rsidRPr="00A83B39">
        <w:rPr>
          <w:sz w:val="24"/>
          <w:szCs w:val="24"/>
        </w:rPr>
        <w:t>au passif l’engagement envers les assurés (les provisions) dépassent très largement le montant des fonds propres.</w:t>
      </w:r>
    </w:p>
    <w:p w:rsidR="00806FB8" w:rsidRPr="00A83B39" w:rsidRDefault="00806FB8" w:rsidP="00806FB8">
      <w:pPr>
        <w:autoSpaceDE w:val="0"/>
        <w:autoSpaceDN w:val="0"/>
        <w:adjustRightInd w:val="0"/>
        <w:jc w:val="left"/>
        <w:rPr>
          <w:sz w:val="28"/>
        </w:rPr>
      </w:pPr>
    </w:p>
    <w:p w:rsidR="00806FB8" w:rsidRPr="00A83B39" w:rsidRDefault="00806FB8" w:rsidP="00806FB8">
      <w:pPr>
        <w:autoSpaceDE w:val="0"/>
        <w:autoSpaceDN w:val="0"/>
        <w:adjustRightInd w:val="0"/>
        <w:jc w:val="left"/>
        <w:rPr>
          <w:sz w:val="16"/>
          <w:szCs w:val="16"/>
        </w:rPr>
      </w:pPr>
      <w:r w:rsidRPr="00A83B39">
        <w:rPr>
          <w:i/>
          <w:iCs/>
          <w:sz w:val="16"/>
          <w:szCs w:val="16"/>
        </w:rPr>
        <w:t>Exemple : Bilan de la société PACIFICA (assureur non-vie, filiale du CA) au 31/12/2009 issu du rapport annuel de la société – en M€</w:t>
      </w:r>
    </w:p>
    <w:tbl>
      <w:tblPr>
        <w:tblW w:w="10395" w:type="dxa"/>
        <w:jc w:val="center"/>
        <w:tblInd w:w="53" w:type="dxa"/>
        <w:tblCellMar>
          <w:left w:w="70" w:type="dxa"/>
          <w:right w:w="70" w:type="dxa"/>
        </w:tblCellMar>
        <w:tblLook w:val="04A0" w:firstRow="1" w:lastRow="0" w:firstColumn="1" w:lastColumn="0" w:noHBand="0" w:noVBand="1"/>
      </w:tblPr>
      <w:tblGrid>
        <w:gridCol w:w="3560"/>
        <w:gridCol w:w="1200"/>
        <w:gridCol w:w="5154"/>
        <w:gridCol w:w="587"/>
      </w:tblGrid>
      <w:tr w:rsidR="00806FB8" w:rsidRPr="00A83B39" w:rsidTr="003F50D4">
        <w:trPr>
          <w:trHeight w:val="300"/>
          <w:jc w:val="center"/>
        </w:trPr>
        <w:tc>
          <w:tcPr>
            <w:tcW w:w="476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ACTIF</w:t>
            </w:r>
          </w:p>
        </w:tc>
        <w:tc>
          <w:tcPr>
            <w:tcW w:w="5635"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PASSIF</w:t>
            </w:r>
          </w:p>
        </w:tc>
      </w:tr>
      <w:tr w:rsidR="00806FB8" w:rsidRPr="00A83B39" w:rsidTr="003F50D4">
        <w:trPr>
          <w:trHeight w:val="300"/>
          <w:jc w:val="center"/>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1. Capital souscrit non appelé</w:t>
            </w:r>
          </w:p>
        </w:tc>
        <w:tc>
          <w:tcPr>
            <w:tcW w:w="1200"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0</w:t>
            </w:r>
          </w:p>
        </w:tc>
        <w:tc>
          <w:tcPr>
            <w:tcW w:w="5154"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1. Capitaux propres</w:t>
            </w:r>
          </w:p>
        </w:tc>
        <w:tc>
          <w:tcPr>
            <w:tcW w:w="481"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436</w:t>
            </w:r>
          </w:p>
        </w:tc>
      </w:tr>
      <w:tr w:rsidR="00806FB8" w:rsidRPr="00A83B39" w:rsidTr="003F50D4">
        <w:trPr>
          <w:trHeight w:val="300"/>
          <w:jc w:val="center"/>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2. Actifs incorporels</w:t>
            </w:r>
          </w:p>
        </w:tc>
        <w:tc>
          <w:tcPr>
            <w:tcW w:w="1200"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74</w:t>
            </w:r>
          </w:p>
        </w:tc>
        <w:tc>
          <w:tcPr>
            <w:tcW w:w="5154"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2. Passifs subordonnés</w:t>
            </w:r>
          </w:p>
        </w:tc>
        <w:tc>
          <w:tcPr>
            <w:tcW w:w="481"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60</w:t>
            </w:r>
          </w:p>
        </w:tc>
      </w:tr>
      <w:tr w:rsidR="00806FB8" w:rsidRPr="00A83B39" w:rsidTr="003F50D4">
        <w:trPr>
          <w:trHeight w:val="300"/>
          <w:jc w:val="center"/>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3. Placements</w:t>
            </w:r>
          </w:p>
        </w:tc>
        <w:tc>
          <w:tcPr>
            <w:tcW w:w="1200"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1636</w:t>
            </w:r>
          </w:p>
        </w:tc>
        <w:tc>
          <w:tcPr>
            <w:tcW w:w="5154"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3. Provisions techniques brutes</w:t>
            </w:r>
          </w:p>
        </w:tc>
        <w:tc>
          <w:tcPr>
            <w:tcW w:w="481"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1713</w:t>
            </w:r>
          </w:p>
        </w:tc>
      </w:tr>
      <w:tr w:rsidR="00806FB8" w:rsidRPr="00A83B39" w:rsidTr="003F50D4">
        <w:trPr>
          <w:trHeight w:val="90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4. Placements représentant les provisions techniques des contrats en unités de compte</w:t>
            </w:r>
          </w:p>
        </w:tc>
        <w:tc>
          <w:tcPr>
            <w:tcW w:w="1200"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0</w:t>
            </w:r>
          </w:p>
        </w:tc>
        <w:tc>
          <w:tcPr>
            <w:tcW w:w="5154" w:type="dxa"/>
            <w:tcBorders>
              <w:top w:val="nil"/>
              <w:left w:val="nil"/>
              <w:bottom w:val="single" w:sz="4" w:space="0" w:color="auto"/>
              <w:right w:val="single" w:sz="4" w:space="0" w:color="auto"/>
            </w:tcBorders>
            <w:shd w:val="clear" w:color="auto" w:fill="auto"/>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4. Provisions techniques des contrats en unités de compte</w:t>
            </w:r>
          </w:p>
        </w:tc>
        <w:tc>
          <w:tcPr>
            <w:tcW w:w="481"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0</w:t>
            </w:r>
          </w:p>
        </w:tc>
      </w:tr>
      <w:tr w:rsidR="00806FB8" w:rsidRPr="00A83B39" w:rsidTr="003F50D4">
        <w:trPr>
          <w:trHeight w:val="900"/>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xml:space="preserve">5. Part des cessionnaires et rétrocessionnaires dans les provisions techniques </w:t>
            </w:r>
          </w:p>
        </w:tc>
        <w:tc>
          <w:tcPr>
            <w:tcW w:w="1200"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135</w:t>
            </w:r>
          </w:p>
        </w:tc>
        <w:tc>
          <w:tcPr>
            <w:tcW w:w="5154"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5. Provisions pour risques et charges</w:t>
            </w:r>
          </w:p>
        </w:tc>
        <w:tc>
          <w:tcPr>
            <w:tcW w:w="481"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4</w:t>
            </w:r>
          </w:p>
        </w:tc>
      </w:tr>
      <w:tr w:rsidR="00806FB8" w:rsidRPr="00A83B39" w:rsidTr="003F50D4">
        <w:trPr>
          <w:trHeight w:val="300"/>
          <w:jc w:val="center"/>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6. Créances</w:t>
            </w:r>
          </w:p>
        </w:tc>
        <w:tc>
          <w:tcPr>
            <w:tcW w:w="1200"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741</w:t>
            </w:r>
          </w:p>
        </w:tc>
        <w:tc>
          <w:tcPr>
            <w:tcW w:w="5154"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6. Dettes pour dépôts en espèces reçus des cessionnaires</w:t>
            </w:r>
          </w:p>
        </w:tc>
        <w:tc>
          <w:tcPr>
            <w:tcW w:w="481"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0</w:t>
            </w:r>
          </w:p>
        </w:tc>
      </w:tr>
      <w:tr w:rsidR="00806FB8" w:rsidRPr="00A83B39" w:rsidTr="003F50D4">
        <w:trPr>
          <w:trHeight w:val="300"/>
          <w:jc w:val="center"/>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7. Autres actifs</w:t>
            </w:r>
          </w:p>
        </w:tc>
        <w:tc>
          <w:tcPr>
            <w:tcW w:w="1200"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430</w:t>
            </w:r>
          </w:p>
        </w:tc>
        <w:tc>
          <w:tcPr>
            <w:tcW w:w="5154"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7. Autres dettes</w:t>
            </w:r>
          </w:p>
        </w:tc>
        <w:tc>
          <w:tcPr>
            <w:tcW w:w="481"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877</w:t>
            </w:r>
          </w:p>
        </w:tc>
      </w:tr>
      <w:tr w:rsidR="00806FB8" w:rsidRPr="00A83B39" w:rsidTr="003F50D4">
        <w:trPr>
          <w:trHeight w:val="300"/>
          <w:jc w:val="center"/>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8. Comptes de régularisation - Actif</w:t>
            </w:r>
          </w:p>
        </w:tc>
        <w:tc>
          <w:tcPr>
            <w:tcW w:w="1200"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107</w:t>
            </w:r>
          </w:p>
        </w:tc>
        <w:tc>
          <w:tcPr>
            <w:tcW w:w="5154"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8. Comptes de régularisation - Passif</w:t>
            </w:r>
          </w:p>
        </w:tc>
        <w:tc>
          <w:tcPr>
            <w:tcW w:w="481"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33</w:t>
            </w:r>
          </w:p>
        </w:tc>
      </w:tr>
      <w:tr w:rsidR="00806FB8" w:rsidRPr="00A83B39" w:rsidTr="003F50D4">
        <w:trPr>
          <w:trHeight w:val="300"/>
          <w:jc w:val="center"/>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TOTAL DE L'ACTIF</w:t>
            </w:r>
          </w:p>
        </w:tc>
        <w:tc>
          <w:tcPr>
            <w:tcW w:w="1200"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3123</w:t>
            </w:r>
          </w:p>
        </w:tc>
        <w:tc>
          <w:tcPr>
            <w:tcW w:w="5154" w:type="dxa"/>
            <w:tcBorders>
              <w:top w:val="nil"/>
              <w:left w:val="nil"/>
              <w:bottom w:val="single" w:sz="4" w:space="0" w:color="auto"/>
              <w:right w:val="single" w:sz="4" w:space="0" w:color="auto"/>
            </w:tcBorders>
            <w:shd w:val="clear" w:color="auto" w:fill="auto"/>
            <w:noWrap/>
            <w:vAlign w:val="center"/>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TOTAL DU PASSIF</w:t>
            </w:r>
          </w:p>
        </w:tc>
        <w:tc>
          <w:tcPr>
            <w:tcW w:w="481"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3123</w:t>
            </w:r>
          </w:p>
        </w:tc>
      </w:tr>
    </w:tbl>
    <w:p w:rsidR="00806FB8" w:rsidRPr="00A83B39" w:rsidRDefault="00806FB8" w:rsidP="00806FB8">
      <w:pPr>
        <w:autoSpaceDE w:val="0"/>
        <w:autoSpaceDN w:val="0"/>
        <w:adjustRightInd w:val="0"/>
        <w:jc w:val="left"/>
        <w:rPr>
          <w:sz w:val="28"/>
        </w:rPr>
      </w:pPr>
    </w:p>
    <w:p w:rsidR="00806FB8" w:rsidRPr="00A83B39" w:rsidRDefault="00806FB8" w:rsidP="00806FB8">
      <w:pPr>
        <w:autoSpaceDE w:val="0"/>
        <w:autoSpaceDN w:val="0"/>
        <w:adjustRightInd w:val="0"/>
        <w:jc w:val="left"/>
        <w:rPr>
          <w:rFonts w:ascii="SymbolMT" w:hAnsi="SymbolMT" w:cs="SymbolMT"/>
          <w:szCs w:val="22"/>
        </w:rPr>
      </w:pPr>
    </w:p>
    <w:p w:rsidR="00806FB8" w:rsidRPr="00A83B39" w:rsidRDefault="00806FB8" w:rsidP="00806FB8">
      <w:pPr>
        <w:pStyle w:val="ListParagraph"/>
        <w:numPr>
          <w:ilvl w:val="2"/>
          <w:numId w:val="12"/>
        </w:numPr>
        <w:ind w:left="1225" w:hanging="505"/>
        <w:contextualSpacing w:val="0"/>
        <w:outlineLvl w:val="3"/>
        <w:rPr>
          <w:sz w:val="28"/>
        </w:rPr>
      </w:pPr>
      <w:r w:rsidRPr="00A83B39">
        <w:rPr>
          <w:sz w:val="28"/>
        </w:rPr>
        <w:t xml:space="preserve"> </w:t>
      </w:r>
      <w:bookmarkStart w:id="23" w:name="_Toc351126744"/>
      <w:r w:rsidRPr="00A83B39">
        <w:rPr>
          <w:sz w:val="28"/>
        </w:rPr>
        <w:t>Composition de l’actif</w:t>
      </w:r>
      <w:bookmarkEnd w:id="23"/>
    </w:p>
    <w:p w:rsidR="00806FB8" w:rsidRPr="00A83B39" w:rsidRDefault="00806FB8" w:rsidP="00806FB8">
      <w:pPr>
        <w:autoSpaceDE w:val="0"/>
        <w:autoSpaceDN w:val="0"/>
        <w:adjustRightInd w:val="0"/>
        <w:jc w:val="left"/>
        <w:rPr>
          <w:rFonts w:ascii="Arial" w:hAnsi="Arial" w:cs="Arial"/>
          <w:b/>
          <w:bCs/>
          <w:szCs w:val="22"/>
        </w:rPr>
      </w:pPr>
    </w:p>
    <w:p w:rsidR="00806FB8" w:rsidRPr="00A83B39" w:rsidRDefault="00806FB8" w:rsidP="00806FB8">
      <w:pPr>
        <w:autoSpaceDE w:val="0"/>
        <w:autoSpaceDN w:val="0"/>
        <w:adjustRightInd w:val="0"/>
        <w:rPr>
          <w:sz w:val="24"/>
          <w:szCs w:val="24"/>
        </w:rPr>
      </w:pPr>
      <w:r w:rsidRPr="00A83B39">
        <w:rPr>
          <w:sz w:val="24"/>
          <w:szCs w:val="24"/>
        </w:rPr>
        <w:t>L’actif représente l’ensemble des avoirs et créances de l’entreprise. Il présente les emplois du patrimoine de l’entreprise. Les éléments sont en principe comptabilisés à leur valeur nette comptable, c'est-à-dire à leur valeur d’origine diminuée des éventuels amortissements et provisions pour dépréciation.</w:t>
      </w:r>
    </w:p>
    <w:p w:rsidR="00806FB8" w:rsidRPr="00A83B39" w:rsidRDefault="00806FB8" w:rsidP="00806FB8">
      <w:pPr>
        <w:autoSpaceDE w:val="0"/>
        <w:autoSpaceDN w:val="0"/>
        <w:adjustRightInd w:val="0"/>
        <w:rPr>
          <w:rFonts w:ascii="ArialMT" w:hAnsi="ArialMT" w:cs="ArialMT"/>
          <w:szCs w:val="22"/>
        </w:rPr>
      </w:pPr>
    </w:p>
    <w:p w:rsidR="00806FB8" w:rsidRPr="00A83B39" w:rsidRDefault="00806FB8" w:rsidP="00806FB8">
      <w:pPr>
        <w:autoSpaceDE w:val="0"/>
        <w:autoSpaceDN w:val="0"/>
        <w:adjustRightInd w:val="0"/>
        <w:rPr>
          <w:sz w:val="24"/>
          <w:szCs w:val="24"/>
        </w:rPr>
      </w:pPr>
      <w:r w:rsidRPr="00A83B39">
        <w:rPr>
          <w:sz w:val="24"/>
          <w:szCs w:val="24"/>
        </w:rPr>
        <w:t>Les différentes rubriques sont les suivantes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(1) Capital souscrit non appelé</w:t>
      </w:r>
    </w:p>
    <w:p w:rsidR="00806FB8" w:rsidRPr="00A83B39" w:rsidRDefault="00806FB8" w:rsidP="00806FB8">
      <w:pPr>
        <w:autoSpaceDE w:val="0"/>
        <w:autoSpaceDN w:val="0"/>
        <w:adjustRightInd w:val="0"/>
        <w:rPr>
          <w:sz w:val="24"/>
          <w:szCs w:val="24"/>
        </w:rPr>
      </w:pPr>
      <w:r w:rsidRPr="00A83B39">
        <w:rPr>
          <w:sz w:val="24"/>
          <w:szCs w:val="24"/>
        </w:rPr>
        <w:t>Il s’agit de la part du capital pour laquelle l’entreprise dispose d’un engagement de la part des associés, mais qui n’a pas été appelée et donc versée. Il s’agit d’une créance sur les associés.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(2) Actifs incorporels</w:t>
      </w:r>
    </w:p>
    <w:p w:rsidR="00806FB8" w:rsidRPr="00A83B39" w:rsidRDefault="00806FB8" w:rsidP="00806FB8">
      <w:pPr>
        <w:autoSpaceDE w:val="0"/>
        <w:autoSpaceDN w:val="0"/>
        <w:adjustRightInd w:val="0"/>
        <w:rPr>
          <w:sz w:val="24"/>
          <w:szCs w:val="24"/>
        </w:rPr>
      </w:pPr>
      <w:r w:rsidRPr="00A83B39">
        <w:rPr>
          <w:sz w:val="24"/>
          <w:szCs w:val="24"/>
        </w:rPr>
        <w:t>Il s’agit essentiellement de la valeur des fonds de commerce acquis (goodwill) et des logiciels acquis ou crées par l’entreprise.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(3) Placements</w:t>
      </w:r>
    </w:p>
    <w:p w:rsidR="00806FB8" w:rsidRPr="00A83B39" w:rsidRDefault="00806FB8" w:rsidP="00806FB8">
      <w:pPr>
        <w:autoSpaceDE w:val="0"/>
        <w:autoSpaceDN w:val="0"/>
        <w:adjustRightInd w:val="0"/>
        <w:rPr>
          <w:sz w:val="24"/>
          <w:szCs w:val="24"/>
        </w:rPr>
      </w:pPr>
      <w:r w:rsidRPr="00A83B39">
        <w:rPr>
          <w:sz w:val="24"/>
          <w:szCs w:val="24"/>
        </w:rPr>
        <w:t xml:space="preserve">Ce poste reprend </w:t>
      </w:r>
      <w:proofErr w:type="spellStart"/>
      <w:r w:rsidRPr="00A83B39">
        <w:rPr>
          <w:sz w:val="24"/>
          <w:szCs w:val="24"/>
        </w:rPr>
        <w:t>tout</w:t>
      </w:r>
      <w:proofErr w:type="spellEnd"/>
      <w:r w:rsidRPr="00A83B39">
        <w:rPr>
          <w:sz w:val="24"/>
          <w:szCs w:val="24"/>
        </w:rPr>
        <w:t xml:space="preserve"> les placements de l’entreprise ventilés en quatre rubriques :</w:t>
      </w:r>
    </w:p>
    <w:p w:rsidR="00806FB8" w:rsidRPr="00A83B39" w:rsidRDefault="00806FB8" w:rsidP="00806FB8">
      <w:pPr>
        <w:autoSpaceDE w:val="0"/>
        <w:autoSpaceDN w:val="0"/>
        <w:adjustRightInd w:val="0"/>
        <w:rPr>
          <w:sz w:val="24"/>
          <w:szCs w:val="24"/>
        </w:rPr>
      </w:pPr>
    </w:p>
    <w:p w:rsidR="00806FB8" w:rsidRPr="00A83B39" w:rsidRDefault="00806FB8" w:rsidP="00806FB8">
      <w:pPr>
        <w:pStyle w:val="ListParagraph"/>
        <w:numPr>
          <w:ilvl w:val="0"/>
          <w:numId w:val="26"/>
        </w:numPr>
        <w:autoSpaceDE w:val="0"/>
        <w:autoSpaceDN w:val="0"/>
        <w:adjustRightInd w:val="0"/>
        <w:rPr>
          <w:sz w:val="24"/>
          <w:szCs w:val="24"/>
        </w:rPr>
      </w:pPr>
      <w:r w:rsidRPr="00A83B39">
        <w:rPr>
          <w:sz w:val="24"/>
          <w:szCs w:val="24"/>
        </w:rPr>
        <w:t>terrains et constructions (y compris les immeubles d’exploitation) ;</w:t>
      </w:r>
    </w:p>
    <w:p w:rsidR="00806FB8" w:rsidRPr="00A83B39" w:rsidRDefault="00806FB8" w:rsidP="00806FB8">
      <w:pPr>
        <w:pStyle w:val="ListParagraph"/>
        <w:numPr>
          <w:ilvl w:val="0"/>
          <w:numId w:val="26"/>
        </w:numPr>
        <w:autoSpaceDE w:val="0"/>
        <w:autoSpaceDN w:val="0"/>
        <w:adjustRightInd w:val="0"/>
        <w:rPr>
          <w:sz w:val="24"/>
          <w:szCs w:val="24"/>
        </w:rPr>
      </w:pPr>
      <w:r w:rsidRPr="00A83B39">
        <w:rPr>
          <w:sz w:val="24"/>
          <w:szCs w:val="24"/>
        </w:rPr>
        <w:t>placements dans les entreprises liées ou avec lien de participation (titres, prêts, dépôts…);</w:t>
      </w:r>
    </w:p>
    <w:p w:rsidR="00806FB8" w:rsidRPr="00A83B39" w:rsidRDefault="00806FB8" w:rsidP="00806FB8">
      <w:pPr>
        <w:pStyle w:val="ListParagraph"/>
        <w:numPr>
          <w:ilvl w:val="0"/>
          <w:numId w:val="26"/>
        </w:numPr>
        <w:autoSpaceDE w:val="0"/>
        <w:autoSpaceDN w:val="0"/>
        <w:adjustRightInd w:val="0"/>
        <w:rPr>
          <w:sz w:val="24"/>
          <w:szCs w:val="24"/>
        </w:rPr>
      </w:pPr>
      <w:r w:rsidRPr="00A83B39">
        <w:rPr>
          <w:sz w:val="24"/>
          <w:szCs w:val="24"/>
        </w:rPr>
        <w:t>autres placements qui incluent par conséquent les obligations, les actions et autres titres à revenus fixes ou variables ;</w:t>
      </w:r>
    </w:p>
    <w:p w:rsidR="00806FB8" w:rsidRPr="00A83B39" w:rsidRDefault="00806FB8" w:rsidP="00806FB8">
      <w:pPr>
        <w:pStyle w:val="ListParagraph"/>
        <w:numPr>
          <w:ilvl w:val="0"/>
          <w:numId w:val="26"/>
        </w:numPr>
        <w:autoSpaceDE w:val="0"/>
        <w:autoSpaceDN w:val="0"/>
        <w:adjustRightInd w:val="0"/>
        <w:rPr>
          <w:sz w:val="24"/>
          <w:szCs w:val="24"/>
        </w:rPr>
      </w:pPr>
      <w:r w:rsidRPr="00A83B39">
        <w:rPr>
          <w:sz w:val="24"/>
          <w:szCs w:val="24"/>
        </w:rPr>
        <w:t>créances pour espèces déposées chez les cédantes.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La réglementation différentie les titres dits « amortissables » c'est-à-dire essentiellement les obligations, des valeurs « non amortissables » (actions, immobilier).</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Les placements obligataires sont comptabilisés lors de leur entrée dans le patrimoine pour leur valeur d’achat ou de revient, hors intérêts courus et frais d’acquisition.</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A chaque arrêté comptable les obligations et autres valeurs amortissables font l’objet d’un calcul d’intérêt couru et d’un étalement de la prime (surcote) ou de la décote qui peut exister du fait de la différence entre la valeur d’entrée et la valeur de remboursement à l’échéance du titre. Ce calcul est fait sur la durée de vie résiduelle des titres et repose sur l’idée que les titres seront détenus jusqu’à leur terme. Ainsi le gain ou la perte qui sera constatée au moment du remboursement doit être lissée dans le temps. Les intérêts courus ainsi que l’amortissement de surcote et décote sont comptabilisés en comptes de régularisation (bas de bilan).</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En outre dans le cas d’un risque de défaillance avéré de l’émetteur (risque de contrepartie) le titre doit faire l’objet d’une provision pour dépréciation qui viendra en diminution de la valeur comptable du titre au bilan.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En cas de cession d’une obligation, si une plus-value est réalisée, elle sera neutralisée par une dotation à la </w:t>
      </w:r>
      <w:r w:rsidRPr="00A83B39">
        <w:rPr>
          <w:b/>
          <w:bCs/>
          <w:sz w:val="24"/>
          <w:szCs w:val="24"/>
        </w:rPr>
        <w:t>réserve de capitalisation</w:t>
      </w:r>
      <w:r w:rsidRPr="00A83B39">
        <w:rPr>
          <w:sz w:val="24"/>
          <w:szCs w:val="24"/>
        </w:rPr>
        <w:t xml:space="preserve">. Il s’agit d’une provision technique, néanmoins sa dotation est une charge financière et le montant de la réserve de capitalisation est inscrit dans le poste « autres réserves » des capitaux propres. A ce titre elle est considérée comme un élément constitutif de la marge de solvabilité au même titre que le capital. Au contraire, dans le cas où la société viendrait à réaliser une </w:t>
      </w:r>
      <w:proofErr w:type="spellStart"/>
      <w:r w:rsidRPr="00A83B39">
        <w:rPr>
          <w:sz w:val="24"/>
          <w:szCs w:val="24"/>
        </w:rPr>
        <w:t>moins value</w:t>
      </w:r>
      <w:proofErr w:type="spellEnd"/>
      <w:r w:rsidRPr="00A83B39">
        <w:rPr>
          <w:sz w:val="24"/>
          <w:szCs w:val="24"/>
        </w:rPr>
        <w:t xml:space="preserve"> en cédant une obligation, la moins-value serait neutralisée par une reprise à la réserve de capitalisation.</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Les autres placements (actions, immeubles, autres valeurs non amortissables) sont inscrits au bilan pour leur valeur d’entrée, corrigée par les amortissements pratiqués sur les immeubles.</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sz w:val="24"/>
          <w:szCs w:val="24"/>
        </w:rPr>
      </w:pPr>
      <w:r w:rsidRPr="00A83B39">
        <w:rPr>
          <w:sz w:val="24"/>
          <w:szCs w:val="24"/>
        </w:rPr>
        <w:lastRenderedPageBreak/>
        <w:t xml:space="preserve">Dans le cas où pour un titre donné, la valeur de réalisation du titre est significativement inférieure à sa valeur nette comptable et que cette moins-value potentielle peut être considérée comme durable il y a lieu de comptabiliser une provision pour dépréciation durable. Cette provision vient en déduction de la valeur nette comptable du titre. </w:t>
      </w:r>
    </w:p>
    <w:p w:rsidR="00806FB8" w:rsidRPr="00A83B39" w:rsidRDefault="00806FB8" w:rsidP="00806FB8">
      <w:pPr>
        <w:autoSpaceDE w:val="0"/>
        <w:autoSpaceDN w:val="0"/>
        <w:adjustRightInd w:val="0"/>
        <w:rPr>
          <w:sz w:val="24"/>
          <w:szCs w:val="24"/>
        </w:rPr>
      </w:pPr>
      <w:r w:rsidRPr="00A83B39">
        <w:rPr>
          <w:sz w:val="24"/>
          <w:szCs w:val="24"/>
        </w:rPr>
        <w:t xml:space="preserve">En outre, dans le cas où la valeur au bilan de l’ensemble de ces placements est globalement inférieure à la valeur de réalisation de ces mêmes placements, la moins-value doit faire l’objet d’un provisionnement, non par une dépréciation d’actif, mais par une dotation à la </w:t>
      </w:r>
      <w:r w:rsidRPr="00A83B39">
        <w:rPr>
          <w:b/>
          <w:bCs/>
          <w:sz w:val="24"/>
          <w:szCs w:val="24"/>
        </w:rPr>
        <w:t>provision pour risque d’exigibilité</w:t>
      </w:r>
      <w:r w:rsidRPr="00A83B39">
        <w:rPr>
          <w:sz w:val="24"/>
          <w:szCs w:val="24"/>
        </w:rPr>
        <w:t xml:space="preserve">. Il s’agit d’une provision technique donc inscrite au passif du bilan en « autres provisions techniques ». Cette provision a pour objet de « faire face à une insuffisance de liquidité des placements, notamment en cas de modification du rythme de règlement des sinistres » (Art. R331-3 et R331-6 code des assurances). L’idée </w:t>
      </w:r>
      <w:proofErr w:type="spellStart"/>
      <w:r w:rsidRPr="00A83B39">
        <w:rPr>
          <w:sz w:val="24"/>
          <w:szCs w:val="24"/>
        </w:rPr>
        <w:t>sous jacente</w:t>
      </w:r>
      <w:proofErr w:type="spellEnd"/>
      <w:r w:rsidRPr="00A83B39">
        <w:rPr>
          <w:sz w:val="24"/>
          <w:szCs w:val="24"/>
        </w:rPr>
        <w:t xml:space="preserve"> est qu’en cas de hausse des sinistres ou d’augmentation des rachats l’assureur pourrait être contraint de céder des actifs en moins-value et constater des pertes financières. Cette provision a vu ses règles de dotation modifiées une première fois en 2002 (suite à la crise boursière) puis en 2008. Initialement prévue pour être dotée intégralement, elle est désormais dotée par tiers avec possibilité d’étalement sur une période de 8 ans. La provision à constituer est calculée dans les conditions définies à l'article R. 331-5-1.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La latitude laissée aux entreprises (choix des règles de PDD, option d’étalement de la PRE), ainsi que la possibilité d’effectuer des opérations correctives (par exemple l’achat de titres pour remonter la moins-value latente </w:t>
      </w:r>
      <w:proofErr w:type="spellStart"/>
      <w:r w:rsidRPr="00A83B39">
        <w:rPr>
          <w:sz w:val="24"/>
          <w:szCs w:val="24"/>
        </w:rPr>
        <w:t>au dessus</w:t>
      </w:r>
      <w:proofErr w:type="spellEnd"/>
      <w:r w:rsidRPr="00A83B39">
        <w:rPr>
          <w:sz w:val="24"/>
          <w:szCs w:val="24"/>
        </w:rPr>
        <w:t xml:space="preserve"> du seuil de dépréciation) permet </w:t>
      </w:r>
      <w:r w:rsidRPr="00A83B39">
        <w:rPr>
          <w:b/>
          <w:bCs/>
          <w:sz w:val="24"/>
          <w:szCs w:val="24"/>
        </w:rPr>
        <w:t>un pilotage du résultat financier et donc du résultat</w:t>
      </w:r>
      <w:r w:rsidRPr="00A83B39">
        <w:rPr>
          <w:sz w:val="24"/>
          <w:szCs w:val="24"/>
        </w:rPr>
        <w:t xml:space="preserve"> </w:t>
      </w:r>
      <w:r w:rsidRPr="00A83B39">
        <w:rPr>
          <w:b/>
          <w:bCs/>
          <w:sz w:val="24"/>
          <w:szCs w:val="24"/>
        </w:rPr>
        <w:t xml:space="preserve">comptable </w:t>
      </w:r>
      <w:r w:rsidRPr="00A83B39">
        <w:rPr>
          <w:sz w:val="24"/>
          <w:szCs w:val="24"/>
        </w:rPr>
        <w:t>de l’exercice. La connaissance de ces règles, et des stratégies induites, s’avère être une obligation pour les directions financières.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(4) Placements couvrant les contrats en UC.</w:t>
      </w:r>
    </w:p>
    <w:p w:rsidR="00806FB8" w:rsidRPr="00A83B39" w:rsidRDefault="00806FB8" w:rsidP="00806FB8">
      <w:pPr>
        <w:autoSpaceDE w:val="0"/>
        <w:autoSpaceDN w:val="0"/>
        <w:adjustRightInd w:val="0"/>
        <w:rPr>
          <w:sz w:val="24"/>
          <w:szCs w:val="24"/>
        </w:rPr>
      </w:pPr>
      <w:r w:rsidRPr="00A83B39">
        <w:rPr>
          <w:sz w:val="24"/>
          <w:szCs w:val="24"/>
        </w:rPr>
        <w:t>Il s’agit de la valeur de réalisation de l’ensemble des unités de compte détenues par la société en couverture des provisions techniques en UC. Le montant de ces supports fait l’objet d’une réévaluation à la date du bilan et ceci contrairement aux autres placements du portefeuille général. Cette réévaluation se traduit au niveau du compte de résultat par le constat de produits (plus-values) ou charges (moins-values) appelés ajustement d’ACAV (ajustement des contrats à capital variable). Les provisions techniques en UC faisant également l’objet d’une réévaluation, il y a donc théoriquement symétrie avec le poste 4 du passif; on parle de congruence.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(5) Parts des réassureurs dans les provisions techniques</w:t>
      </w:r>
    </w:p>
    <w:p w:rsidR="00806FB8" w:rsidRPr="00A83B39" w:rsidRDefault="00806FB8" w:rsidP="00806FB8">
      <w:pPr>
        <w:autoSpaceDE w:val="0"/>
        <w:autoSpaceDN w:val="0"/>
        <w:adjustRightInd w:val="0"/>
        <w:rPr>
          <w:sz w:val="24"/>
          <w:szCs w:val="24"/>
        </w:rPr>
      </w:pPr>
      <w:r w:rsidRPr="00A83B39">
        <w:rPr>
          <w:sz w:val="24"/>
          <w:szCs w:val="24"/>
        </w:rPr>
        <w:t>Ce poste reflète la créance que l’entreprise possède sur les réassureurs au titre de leurs parts dans les provisions techniques. La ventilation est symétrique à celle des provisions techniques au passif.</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(6) Créances</w:t>
      </w:r>
    </w:p>
    <w:p w:rsidR="00806FB8" w:rsidRPr="00A83B39" w:rsidRDefault="00806FB8" w:rsidP="00806FB8">
      <w:pPr>
        <w:autoSpaceDE w:val="0"/>
        <w:autoSpaceDN w:val="0"/>
        <w:adjustRightInd w:val="0"/>
        <w:rPr>
          <w:sz w:val="24"/>
          <w:szCs w:val="24"/>
        </w:rPr>
      </w:pPr>
      <w:r w:rsidRPr="00A83B39">
        <w:rPr>
          <w:sz w:val="24"/>
          <w:szCs w:val="24"/>
        </w:rPr>
        <w:t>Elles comprennent :</w:t>
      </w:r>
    </w:p>
    <w:p w:rsidR="00806FB8" w:rsidRPr="00A83B39" w:rsidRDefault="00806FB8" w:rsidP="00806FB8">
      <w:pPr>
        <w:pStyle w:val="ListParagraph"/>
        <w:numPr>
          <w:ilvl w:val="0"/>
          <w:numId w:val="25"/>
        </w:numPr>
        <w:autoSpaceDE w:val="0"/>
        <w:autoSpaceDN w:val="0"/>
        <w:adjustRightInd w:val="0"/>
        <w:rPr>
          <w:sz w:val="24"/>
          <w:szCs w:val="24"/>
        </w:rPr>
      </w:pPr>
      <w:r w:rsidRPr="00A83B39">
        <w:rPr>
          <w:sz w:val="24"/>
          <w:szCs w:val="24"/>
        </w:rPr>
        <w:t>les créances liées à l’exploitation c'est-à-dire issues d’opérations d’assurance de coassurance ou de réassurance ;</w:t>
      </w:r>
    </w:p>
    <w:p w:rsidR="00806FB8" w:rsidRPr="00A83B39" w:rsidRDefault="00806FB8" w:rsidP="00806FB8">
      <w:pPr>
        <w:pStyle w:val="ListParagraph"/>
        <w:numPr>
          <w:ilvl w:val="0"/>
          <w:numId w:val="25"/>
        </w:numPr>
        <w:autoSpaceDE w:val="0"/>
        <w:autoSpaceDN w:val="0"/>
        <w:adjustRightInd w:val="0"/>
        <w:rPr>
          <w:sz w:val="24"/>
          <w:szCs w:val="24"/>
        </w:rPr>
      </w:pPr>
      <w:r w:rsidRPr="00A83B39">
        <w:rPr>
          <w:sz w:val="24"/>
          <w:szCs w:val="24"/>
        </w:rPr>
        <w:t>les autres créances : personnel, état et collectivités locales, et débiteurs divers.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(7) Autres actifs</w:t>
      </w:r>
    </w:p>
    <w:p w:rsidR="00806FB8" w:rsidRPr="00A83B39" w:rsidRDefault="00806FB8" w:rsidP="00806FB8">
      <w:pPr>
        <w:autoSpaceDE w:val="0"/>
        <w:autoSpaceDN w:val="0"/>
        <w:adjustRightInd w:val="0"/>
        <w:rPr>
          <w:sz w:val="24"/>
          <w:szCs w:val="24"/>
        </w:rPr>
      </w:pPr>
      <w:r w:rsidRPr="00A83B39">
        <w:rPr>
          <w:sz w:val="24"/>
          <w:szCs w:val="24"/>
        </w:rPr>
        <w:t>Il s’agit principalement :</w:t>
      </w:r>
    </w:p>
    <w:p w:rsidR="00806FB8" w:rsidRPr="00A83B39" w:rsidRDefault="00806FB8" w:rsidP="00806FB8">
      <w:pPr>
        <w:pStyle w:val="ListParagraph"/>
        <w:numPr>
          <w:ilvl w:val="0"/>
          <w:numId w:val="24"/>
        </w:numPr>
        <w:autoSpaceDE w:val="0"/>
        <w:autoSpaceDN w:val="0"/>
        <w:adjustRightInd w:val="0"/>
        <w:rPr>
          <w:sz w:val="24"/>
          <w:szCs w:val="24"/>
        </w:rPr>
      </w:pPr>
      <w:r w:rsidRPr="00A83B39">
        <w:rPr>
          <w:sz w:val="24"/>
          <w:szCs w:val="24"/>
        </w:rPr>
        <w:t xml:space="preserve">des actifs corporels d’exploitation c'est-à-dire </w:t>
      </w:r>
      <w:proofErr w:type="spellStart"/>
      <w:r w:rsidRPr="00A83B39">
        <w:rPr>
          <w:sz w:val="24"/>
          <w:szCs w:val="24"/>
        </w:rPr>
        <w:t>tout</w:t>
      </w:r>
      <w:proofErr w:type="spellEnd"/>
      <w:r w:rsidRPr="00A83B39">
        <w:rPr>
          <w:sz w:val="24"/>
          <w:szCs w:val="24"/>
        </w:rPr>
        <w:t xml:space="preserve"> les biens acquis nécessaires à l’exploitation (meubles, matériels informatiques, …) à l’exclusion des immeubles qui doivent être classés en placement. Ces actifs sont présentés nets d’amortissement.</w:t>
      </w:r>
    </w:p>
    <w:p w:rsidR="00806FB8" w:rsidRPr="00A83B39" w:rsidRDefault="00806FB8" w:rsidP="00806FB8">
      <w:pPr>
        <w:pStyle w:val="ListParagraph"/>
        <w:numPr>
          <w:ilvl w:val="0"/>
          <w:numId w:val="24"/>
        </w:numPr>
        <w:autoSpaceDE w:val="0"/>
        <w:autoSpaceDN w:val="0"/>
        <w:adjustRightInd w:val="0"/>
        <w:rPr>
          <w:sz w:val="24"/>
          <w:szCs w:val="24"/>
        </w:rPr>
      </w:pPr>
      <w:r w:rsidRPr="00A83B39">
        <w:rPr>
          <w:sz w:val="24"/>
          <w:szCs w:val="24"/>
        </w:rPr>
        <w:t>des avoirs détenus en banques (et marginalement caisse) ;</w:t>
      </w:r>
    </w:p>
    <w:p w:rsidR="00806FB8" w:rsidRPr="00A83B39" w:rsidRDefault="00806FB8" w:rsidP="00806FB8">
      <w:pPr>
        <w:pStyle w:val="ListParagraph"/>
        <w:numPr>
          <w:ilvl w:val="0"/>
          <w:numId w:val="24"/>
        </w:numPr>
        <w:autoSpaceDE w:val="0"/>
        <w:autoSpaceDN w:val="0"/>
        <w:adjustRightInd w:val="0"/>
        <w:rPr>
          <w:sz w:val="24"/>
          <w:szCs w:val="24"/>
        </w:rPr>
      </w:pPr>
      <w:r w:rsidRPr="00A83B39">
        <w:rPr>
          <w:sz w:val="24"/>
          <w:szCs w:val="24"/>
        </w:rPr>
        <w:t>des actions propres.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(8) Compte de régularisation, actif</w:t>
      </w:r>
    </w:p>
    <w:p w:rsidR="00806FB8" w:rsidRPr="00A83B39" w:rsidRDefault="00806FB8" w:rsidP="00806FB8">
      <w:pPr>
        <w:autoSpaceDE w:val="0"/>
        <w:autoSpaceDN w:val="0"/>
        <w:adjustRightInd w:val="0"/>
        <w:rPr>
          <w:sz w:val="24"/>
          <w:szCs w:val="24"/>
        </w:rPr>
      </w:pPr>
      <w:r w:rsidRPr="00A83B39">
        <w:rPr>
          <w:sz w:val="24"/>
          <w:szCs w:val="24"/>
        </w:rPr>
        <w:lastRenderedPageBreak/>
        <w:t>Ce poste se compose des intérêts et loyers acquis et non échus, des frais d’acquisition reportés, des charges à répartir sur plusieurs exercices et différences sur les prix de remboursement des obligations (aussi appelé la décote).</w:t>
      </w:r>
    </w:p>
    <w:p w:rsidR="00806FB8" w:rsidRPr="00A83B39" w:rsidRDefault="00806FB8" w:rsidP="00806FB8">
      <w:pPr>
        <w:pStyle w:val="ListParagraph"/>
        <w:autoSpaceDE w:val="0"/>
        <w:autoSpaceDN w:val="0"/>
        <w:adjustRightInd w:val="0"/>
        <w:ind w:left="1224"/>
        <w:jc w:val="left"/>
        <w:rPr>
          <w:sz w:val="28"/>
        </w:rPr>
      </w:pPr>
    </w:p>
    <w:p w:rsidR="00806FB8" w:rsidRPr="00A83B39" w:rsidRDefault="00806FB8" w:rsidP="00806FB8">
      <w:pPr>
        <w:pStyle w:val="ListParagraph"/>
        <w:numPr>
          <w:ilvl w:val="2"/>
          <w:numId w:val="12"/>
        </w:numPr>
        <w:ind w:left="1225" w:hanging="505"/>
        <w:contextualSpacing w:val="0"/>
        <w:outlineLvl w:val="3"/>
        <w:rPr>
          <w:sz w:val="28"/>
        </w:rPr>
      </w:pPr>
      <w:bookmarkStart w:id="24" w:name="_Toc351126745"/>
      <w:r w:rsidRPr="00A83B39">
        <w:rPr>
          <w:sz w:val="28"/>
        </w:rPr>
        <w:t>Composition du Passif</w:t>
      </w:r>
      <w:bookmarkEnd w:id="24"/>
    </w:p>
    <w:p w:rsidR="00806FB8" w:rsidRPr="00A83B39" w:rsidRDefault="00806FB8" w:rsidP="00806FB8">
      <w:pPr>
        <w:pStyle w:val="ListParagraph"/>
        <w:autoSpaceDE w:val="0"/>
        <w:autoSpaceDN w:val="0"/>
        <w:adjustRightInd w:val="0"/>
        <w:ind w:left="1224"/>
        <w:jc w:val="left"/>
        <w:rPr>
          <w:sz w:val="28"/>
        </w:rPr>
      </w:pPr>
    </w:p>
    <w:p w:rsidR="00806FB8" w:rsidRPr="00A83B39" w:rsidRDefault="00806FB8" w:rsidP="00806FB8">
      <w:pPr>
        <w:autoSpaceDE w:val="0"/>
        <w:autoSpaceDN w:val="0"/>
        <w:adjustRightInd w:val="0"/>
        <w:rPr>
          <w:sz w:val="24"/>
          <w:szCs w:val="24"/>
        </w:rPr>
      </w:pPr>
      <w:r w:rsidRPr="00A83B39">
        <w:rPr>
          <w:sz w:val="24"/>
          <w:szCs w:val="24"/>
        </w:rPr>
        <w:t>Le passif reflète l’ensemble des dettes de l’entreprise. On parlera aussi de « ressources » dans la mesure où elles permettent de financer les emplois que sont les actifs.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(1) Capitaux propres</w:t>
      </w:r>
    </w:p>
    <w:p w:rsidR="00806FB8" w:rsidRPr="00A83B39" w:rsidRDefault="00806FB8" w:rsidP="00806FB8">
      <w:pPr>
        <w:autoSpaceDE w:val="0"/>
        <w:autoSpaceDN w:val="0"/>
        <w:adjustRightInd w:val="0"/>
        <w:rPr>
          <w:sz w:val="24"/>
          <w:szCs w:val="24"/>
        </w:rPr>
      </w:pPr>
      <w:r w:rsidRPr="00A83B39">
        <w:rPr>
          <w:sz w:val="24"/>
          <w:szCs w:val="24"/>
        </w:rPr>
        <w:t xml:space="preserve">Les fonds propres comprennent le capital social (pour les sociétés anonymes) ou le fonds d’établissement (pour les sociétés </w:t>
      </w:r>
      <w:proofErr w:type="gramStart"/>
      <w:r w:rsidRPr="00A83B39">
        <w:rPr>
          <w:sz w:val="24"/>
          <w:szCs w:val="24"/>
        </w:rPr>
        <w:t>d’assurances mutuelle</w:t>
      </w:r>
      <w:proofErr w:type="gramEnd"/>
      <w:r w:rsidRPr="00A83B39">
        <w:rPr>
          <w:sz w:val="24"/>
          <w:szCs w:val="24"/>
        </w:rPr>
        <w:t>). Ils comprennent également les réserves de tout type y compris la réserve de capitalisation. Enfin les capitaux propres incluent le résultat de l’exercice, qu’il s’agisse d’un bénéfice ou d’une perte (le montant sera alors négatif).</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(2) Passifs subordonnés</w:t>
      </w:r>
    </w:p>
    <w:p w:rsidR="00806FB8" w:rsidRPr="00A83B39" w:rsidRDefault="00806FB8" w:rsidP="00806FB8">
      <w:pPr>
        <w:autoSpaceDE w:val="0"/>
        <w:autoSpaceDN w:val="0"/>
        <w:adjustRightInd w:val="0"/>
        <w:rPr>
          <w:sz w:val="24"/>
          <w:szCs w:val="24"/>
        </w:rPr>
      </w:pPr>
      <w:r w:rsidRPr="00A83B39">
        <w:rPr>
          <w:sz w:val="24"/>
          <w:szCs w:val="24"/>
        </w:rPr>
        <w:t>Il s’agit de titres émis ou dettes de toutes natures venant à un rang inférieur à toutes autres créances en cas de liquidation de la société. Ces passifs sont considérés comme des quasis fonds propres et sont admis dans certaines limites comme éléments constitutifs de la marge de solvabilité. Il s’agit en général de TSD (titre subordonné) ou TSDI (titre subordonné à durée indéterminée)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(3) Provisions techniques</w:t>
      </w:r>
    </w:p>
    <w:p w:rsidR="00806FB8" w:rsidRPr="00A83B39" w:rsidRDefault="00806FB8" w:rsidP="00806FB8">
      <w:pPr>
        <w:autoSpaceDE w:val="0"/>
        <w:autoSpaceDN w:val="0"/>
        <w:adjustRightInd w:val="0"/>
        <w:rPr>
          <w:sz w:val="24"/>
          <w:szCs w:val="24"/>
        </w:rPr>
      </w:pPr>
      <w:r w:rsidRPr="00A83B39">
        <w:rPr>
          <w:sz w:val="24"/>
          <w:szCs w:val="24"/>
        </w:rPr>
        <w:t>Les provisions techniques représentent l’ensemble des engagements de l’assureur envers les assurés et les cédantes. Elles sont définies par le code des assurances aux articles R331-3 (provisions d’assurance vie, nuptialité-natalité et opérations de capitalisation) et R331-6 (autres opérations d'assurance)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u w:val="single"/>
        </w:rPr>
      </w:pPr>
      <w:r w:rsidRPr="00A83B39">
        <w:rPr>
          <w:sz w:val="24"/>
          <w:szCs w:val="24"/>
          <w:u w:val="single"/>
        </w:rPr>
        <w:t>Les provisions relatives à l</w:t>
      </w:r>
      <w:r w:rsidRPr="00A83B39">
        <w:rPr>
          <w:b/>
          <w:bCs/>
          <w:sz w:val="24"/>
          <w:szCs w:val="24"/>
          <w:u w:val="single"/>
        </w:rPr>
        <w:t xml:space="preserve">’assurance vie </w:t>
      </w:r>
      <w:r w:rsidRPr="00A83B39">
        <w:rPr>
          <w:sz w:val="24"/>
          <w:szCs w:val="24"/>
          <w:u w:val="single"/>
        </w:rPr>
        <w:t>sont les suivantes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sz w:val="24"/>
          <w:szCs w:val="24"/>
        </w:rPr>
        <w:t xml:space="preserve">• Le poste le plus important est celui des </w:t>
      </w:r>
      <w:r w:rsidRPr="00A83B39">
        <w:rPr>
          <w:b/>
          <w:bCs/>
          <w:sz w:val="24"/>
          <w:szCs w:val="24"/>
        </w:rPr>
        <w:t>provisions d’assurance vie</w:t>
      </w:r>
    </w:p>
    <w:p w:rsidR="00806FB8" w:rsidRPr="00A83B39" w:rsidRDefault="00806FB8" w:rsidP="00806FB8">
      <w:pPr>
        <w:autoSpaceDE w:val="0"/>
        <w:autoSpaceDN w:val="0"/>
        <w:adjustRightInd w:val="0"/>
        <w:rPr>
          <w:sz w:val="24"/>
          <w:szCs w:val="24"/>
        </w:rPr>
      </w:pPr>
      <w:r w:rsidRPr="00A83B39">
        <w:rPr>
          <w:sz w:val="24"/>
          <w:szCs w:val="24"/>
        </w:rPr>
        <w:t xml:space="preserve">La principale provision est la </w:t>
      </w:r>
      <w:r w:rsidRPr="00A83B39">
        <w:rPr>
          <w:i/>
          <w:iCs/>
          <w:sz w:val="24"/>
          <w:szCs w:val="24"/>
        </w:rPr>
        <w:t>provision mathématique (PM)</w:t>
      </w:r>
      <w:r w:rsidRPr="00A83B39">
        <w:rPr>
          <w:sz w:val="24"/>
          <w:szCs w:val="24"/>
        </w:rPr>
        <w:t>. Elle est définie comme la « différence entre les valeurs actuelles des engagements respectivement pris par l'assureur et par les assurés ». Pour les contrats d’épargne, elle correspond à l’épargne acquise par l’assuré.</w:t>
      </w: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i/>
          <w:iCs/>
          <w:sz w:val="24"/>
          <w:szCs w:val="24"/>
        </w:rPr>
        <w:t xml:space="preserve">provision de gestion (PGG) </w:t>
      </w:r>
      <w:r w:rsidRPr="00A83B39">
        <w:rPr>
          <w:sz w:val="24"/>
          <w:szCs w:val="24"/>
        </w:rPr>
        <w:t>est destinée à couvrir les charges de gestion futures des contrats non couvertes par ailleurs.</w:t>
      </w: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i/>
          <w:iCs/>
          <w:sz w:val="24"/>
          <w:szCs w:val="24"/>
        </w:rPr>
        <w:t xml:space="preserve">provision pour frais d'acquisition reportés </w:t>
      </w:r>
      <w:r w:rsidRPr="00A83B39">
        <w:rPr>
          <w:sz w:val="24"/>
          <w:szCs w:val="24"/>
        </w:rPr>
        <w:t>est « destinée à couvrir les charges résultant du report des frais d'acquisition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 Les </w:t>
      </w:r>
      <w:r w:rsidRPr="00A83B39">
        <w:rPr>
          <w:b/>
          <w:bCs/>
          <w:sz w:val="24"/>
          <w:szCs w:val="24"/>
        </w:rPr>
        <w:t xml:space="preserve">provisions pour sinistres à payer </w:t>
      </w:r>
      <w:r w:rsidRPr="00A83B39">
        <w:rPr>
          <w:sz w:val="24"/>
          <w:szCs w:val="24"/>
        </w:rPr>
        <w:t>correspondent à l’ensemble des décès, capitaux à terme, arrérages de rentes et rachats survenus et restant à payer. Elle tient compte des sinistres survenus dans l’année, mais connus tardivement.</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 La </w:t>
      </w:r>
      <w:r w:rsidRPr="00A83B39">
        <w:rPr>
          <w:b/>
          <w:bCs/>
          <w:sz w:val="24"/>
          <w:szCs w:val="24"/>
        </w:rPr>
        <w:t xml:space="preserve">provision pour participation aux bénéfices </w:t>
      </w:r>
      <w:r w:rsidRPr="00A83B39">
        <w:rPr>
          <w:sz w:val="24"/>
          <w:szCs w:val="24"/>
        </w:rPr>
        <w:t>correspond au montant des participations aux bénéfices dues aux assurés mais non encore attribuées individuellement. Elle doit être distribuée dans les huit ans qui suivent sa constitution.</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 La </w:t>
      </w:r>
      <w:r w:rsidRPr="00A83B39">
        <w:rPr>
          <w:b/>
          <w:bCs/>
          <w:sz w:val="24"/>
          <w:szCs w:val="24"/>
        </w:rPr>
        <w:t xml:space="preserve">provision pour égalisation </w:t>
      </w:r>
      <w:r w:rsidRPr="00A83B39">
        <w:rPr>
          <w:sz w:val="24"/>
          <w:szCs w:val="24"/>
        </w:rPr>
        <w:t>est une provision destinée à faire face aux fluctuations de sinistralité sur les opérations d'assurance de groupe contre le risque décès.</w:t>
      </w:r>
    </w:p>
    <w:p w:rsidR="00806FB8" w:rsidRPr="00A83B39" w:rsidRDefault="00806FB8" w:rsidP="00806FB8">
      <w:pPr>
        <w:autoSpaceDE w:val="0"/>
        <w:autoSpaceDN w:val="0"/>
        <w:adjustRightInd w:val="0"/>
        <w:rPr>
          <w:sz w:val="24"/>
          <w:szCs w:val="24"/>
        </w:rPr>
      </w:pPr>
      <w:r w:rsidRPr="00A83B39">
        <w:rPr>
          <w:sz w:val="24"/>
          <w:szCs w:val="24"/>
        </w:rPr>
        <w:t xml:space="preserve">• Les </w:t>
      </w:r>
      <w:r w:rsidRPr="00A83B39">
        <w:rPr>
          <w:b/>
          <w:bCs/>
          <w:sz w:val="24"/>
          <w:szCs w:val="24"/>
        </w:rPr>
        <w:t xml:space="preserve">autres provisions techniques vie </w:t>
      </w:r>
      <w:r w:rsidRPr="00A83B39">
        <w:rPr>
          <w:sz w:val="24"/>
          <w:szCs w:val="24"/>
        </w:rPr>
        <w:t>comprennent :</w:t>
      </w: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i/>
          <w:iCs/>
          <w:sz w:val="24"/>
          <w:szCs w:val="24"/>
        </w:rPr>
        <w:t xml:space="preserve">provision pour aléas financiers </w:t>
      </w:r>
      <w:r w:rsidRPr="00A83B39">
        <w:rPr>
          <w:sz w:val="24"/>
          <w:szCs w:val="24"/>
        </w:rPr>
        <w:t>(PAF) qui doit être constituée lorsque les intérêts garantis sont supérieurs à 80% au taux de rendement des actifs.</w:t>
      </w: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i/>
          <w:iCs/>
          <w:sz w:val="24"/>
          <w:szCs w:val="24"/>
        </w:rPr>
        <w:t xml:space="preserve">provision pour risque d'exigibilité </w:t>
      </w:r>
      <w:r w:rsidRPr="00A83B39">
        <w:rPr>
          <w:sz w:val="24"/>
          <w:szCs w:val="24"/>
        </w:rPr>
        <w:t>(PRE) qui est destinée à faire face aux engagements dans le cas de moins-value latente de l'ensemble des actifs non obligataires.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u w:val="single"/>
        </w:rPr>
      </w:pPr>
      <w:r w:rsidRPr="00A83B39">
        <w:rPr>
          <w:sz w:val="24"/>
          <w:szCs w:val="24"/>
          <w:u w:val="single"/>
        </w:rPr>
        <w:lastRenderedPageBreak/>
        <w:t>Les provisions relatives à l’</w:t>
      </w:r>
      <w:r w:rsidRPr="00A83B39">
        <w:rPr>
          <w:b/>
          <w:bCs/>
          <w:sz w:val="24"/>
          <w:szCs w:val="24"/>
          <w:u w:val="single"/>
        </w:rPr>
        <w:t xml:space="preserve">assurance non vie </w:t>
      </w:r>
      <w:r w:rsidRPr="00A83B39">
        <w:rPr>
          <w:sz w:val="24"/>
          <w:szCs w:val="24"/>
          <w:u w:val="single"/>
        </w:rPr>
        <w:t>sont les suivantes :</w:t>
      </w:r>
    </w:p>
    <w:p w:rsidR="00806FB8" w:rsidRPr="00A83B39" w:rsidRDefault="00806FB8" w:rsidP="00806FB8">
      <w:pPr>
        <w:autoSpaceDE w:val="0"/>
        <w:autoSpaceDN w:val="0"/>
        <w:adjustRightInd w:val="0"/>
        <w:rPr>
          <w:sz w:val="24"/>
          <w:szCs w:val="24"/>
          <w:u w:val="single"/>
        </w:rPr>
      </w:pPr>
    </w:p>
    <w:p w:rsidR="00806FB8" w:rsidRPr="00A83B39" w:rsidRDefault="00806FB8" w:rsidP="00806FB8">
      <w:pPr>
        <w:autoSpaceDE w:val="0"/>
        <w:autoSpaceDN w:val="0"/>
        <w:adjustRightInd w:val="0"/>
        <w:rPr>
          <w:sz w:val="24"/>
          <w:szCs w:val="24"/>
        </w:rPr>
      </w:pPr>
      <w:r w:rsidRPr="00A83B39">
        <w:rPr>
          <w:sz w:val="24"/>
          <w:szCs w:val="24"/>
        </w:rPr>
        <w:t xml:space="preserve">• La </w:t>
      </w:r>
      <w:r w:rsidRPr="00A83B39">
        <w:rPr>
          <w:b/>
          <w:bCs/>
          <w:sz w:val="24"/>
          <w:szCs w:val="24"/>
        </w:rPr>
        <w:t xml:space="preserve">provision pour primes non acquises </w:t>
      </w:r>
      <w:r w:rsidRPr="00A83B39">
        <w:rPr>
          <w:sz w:val="24"/>
          <w:szCs w:val="24"/>
        </w:rPr>
        <w:t>est destinée à constater la part des primes émises et des primes restant à émettre se rapportant à la période comprise entre la date de l'inventaire et la date de la prochaine échéance de prime ou, à défaut, du terme du contrat.</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 La </w:t>
      </w:r>
      <w:r w:rsidRPr="00A83B39">
        <w:rPr>
          <w:b/>
          <w:bCs/>
          <w:sz w:val="24"/>
          <w:szCs w:val="24"/>
        </w:rPr>
        <w:t xml:space="preserve">provision pour sinistres à payer </w:t>
      </w:r>
      <w:r w:rsidRPr="00A83B39">
        <w:rPr>
          <w:sz w:val="24"/>
          <w:szCs w:val="24"/>
        </w:rPr>
        <w:t>qui est la valeur estimative des dépenses en principal et en frais, tant internes qu'externes, nécessaires au règlement de tous les sinistres survenus et non payés.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 La </w:t>
      </w:r>
      <w:r w:rsidRPr="00A83B39">
        <w:rPr>
          <w:b/>
          <w:bCs/>
          <w:sz w:val="24"/>
          <w:szCs w:val="24"/>
        </w:rPr>
        <w:t xml:space="preserve">provision pour égalisation </w:t>
      </w:r>
      <w:r w:rsidRPr="00A83B39">
        <w:rPr>
          <w:sz w:val="24"/>
          <w:szCs w:val="24"/>
        </w:rPr>
        <w:t>qui est destinée à faire face aux fluctuations de sinistralité sur les opérations relatives aux risques nucléaire, spatial, responsabilité civile, pollution, attentats et crédit.</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 Les </w:t>
      </w:r>
      <w:r w:rsidRPr="00A83B39">
        <w:rPr>
          <w:b/>
          <w:bCs/>
          <w:sz w:val="24"/>
          <w:szCs w:val="24"/>
        </w:rPr>
        <w:t xml:space="preserve">autres provisions techniques non vie </w:t>
      </w:r>
      <w:r w:rsidRPr="00A83B39">
        <w:rPr>
          <w:sz w:val="24"/>
          <w:szCs w:val="24"/>
        </w:rPr>
        <w:t>comprennent :</w:t>
      </w: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i/>
          <w:iCs/>
          <w:sz w:val="24"/>
          <w:szCs w:val="24"/>
        </w:rPr>
        <w:t xml:space="preserve">provision mathématique des rentes </w:t>
      </w:r>
      <w:r w:rsidRPr="00A83B39">
        <w:rPr>
          <w:sz w:val="24"/>
          <w:szCs w:val="24"/>
        </w:rPr>
        <w:t>qui correspond à la « valeur actuelle des engagements de l'entreprise en ce qui concerne les rentes et accessoires de rentes mis à sa charge ».</w:t>
      </w: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i/>
          <w:iCs/>
          <w:sz w:val="24"/>
          <w:szCs w:val="24"/>
        </w:rPr>
        <w:t xml:space="preserve">provision pour risques croissants </w:t>
      </w:r>
      <w:r w:rsidRPr="00A83B39">
        <w:rPr>
          <w:sz w:val="24"/>
          <w:szCs w:val="24"/>
        </w:rPr>
        <w:t>(PRC) qui concerne les opérations d'assurance contre les risques de maladie et d'invalidité lorsque les primes sont nivelées, c’est à dire lorsque les primes annuelles sont constantes sur la durée de vie du contrat. Dans ce cas en effet l’assuré paye plus que le prix du risque au début du contrat et moins que le prix du risque en fin de contrat : l’objet de la provision est de lisser le résultat en provisionnant le surplus des premières années pour faire face à l’insuffisance des primes des dernières années. Elle est égale à la différence des valeurs actuelles des engagements respectivement pris par l’assureur et par l’assuré (ce qui l’apparente à la provision mathématique en assurance vie).</w:t>
      </w: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i/>
          <w:iCs/>
          <w:sz w:val="24"/>
          <w:szCs w:val="24"/>
        </w:rPr>
        <w:t xml:space="preserve">provision pour risques en cours </w:t>
      </w:r>
      <w:r w:rsidRPr="00A83B39">
        <w:rPr>
          <w:sz w:val="24"/>
          <w:szCs w:val="24"/>
        </w:rPr>
        <w:t>qui est « destinée à couvrir, pour l'ensemble des contrats en cours, la charge des sinistres et des frais afférents aux contrats, pour la période s'écoulant entre la date de l'inventaire et la date de la première échéance de prime pouvant donner lieu à révision de la prime par l'assureur ou, à défaut, entre la date de l'inventaire et le terme du contrat, pour la part de ce coût qui n'est pas couverte par la provision pour primes non acquises ».</w:t>
      </w: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i/>
          <w:iCs/>
          <w:sz w:val="24"/>
          <w:szCs w:val="24"/>
        </w:rPr>
        <w:t xml:space="preserve">provision pour risque d'exigibilité </w:t>
      </w:r>
      <w:r w:rsidRPr="00A83B39">
        <w:rPr>
          <w:sz w:val="24"/>
          <w:szCs w:val="24"/>
        </w:rPr>
        <w:t>(PRE) qui existe donc en vie et en non vie.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La réserve de capitalisation bien qu’étant réglementairement une provision technique est présentée dans le poste « autres réserves » des capitaux propres. Les provisions techniques sont présentées brutes de réassurance ; la part des réassureurs dans ces provisions est portée à l’actif du bilan.</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(4) Provisions techniques des contrats en unités de compte</w:t>
      </w:r>
    </w:p>
    <w:p w:rsidR="00806FB8" w:rsidRPr="00A83B39" w:rsidRDefault="00806FB8" w:rsidP="00806FB8">
      <w:pPr>
        <w:autoSpaceDE w:val="0"/>
        <w:autoSpaceDN w:val="0"/>
        <w:adjustRightInd w:val="0"/>
        <w:rPr>
          <w:sz w:val="24"/>
          <w:szCs w:val="24"/>
        </w:rPr>
      </w:pPr>
      <w:r w:rsidRPr="00A83B39">
        <w:rPr>
          <w:sz w:val="24"/>
          <w:szCs w:val="24"/>
        </w:rPr>
        <w:t>Il s’agit de l’épargne acquise par l’assuré exprimée en parts d’unités de compte et contre-valorisée en euros.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(5) Provisions pour risques et charges</w:t>
      </w:r>
    </w:p>
    <w:p w:rsidR="00806FB8" w:rsidRPr="00A83B39" w:rsidRDefault="00806FB8" w:rsidP="00806FB8">
      <w:pPr>
        <w:autoSpaceDE w:val="0"/>
        <w:autoSpaceDN w:val="0"/>
        <w:adjustRightInd w:val="0"/>
        <w:rPr>
          <w:sz w:val="24"/>
          <w:szCs w:val="24"/>
        </w:rPr>
      </w:pPr>
      <w:r w:rsidRPr="00A83B39">
        <w:rPr>
          <w:sz w:val="24"/>
          <w:szCs w:val="24"/>
        </w:rPr>
        <w:t>Une provision pour risques et charges représente une perte ou une charge probable.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(6) Autres Dettes</w:t>
      </w:r>
    </w:p>
    <w:p w:rsidR="00806FB8" w:rsidRPr="00A83B39" w:rsidRDefault="00806FB8" w:rsidP="00806FB8">
      <w:pPr>
        <w:autoSpaceDE w:val="0"/>
        <w:autoSpaceDN w:val="0"/>
        <w:adjustRightInd w:val="0"/>
        <w:rPr>
          <w:sz w:val="24"/>
          <w:szCs w:val="24"/>
        </w:rPr>
      </w:pPr>
      <w:r w:rsidRPr="00A83B39">
        <w:rPr>
          <w:sz w:val="24"/>
          <w:szCs w:val="24"/>
        </w:rPr>
        <w:t>Ce poste comporte :</w:t>
      </w:r>
    </w:p>
    <w:p w:rsidR="00806FB8" w:rsidRPr="00A83B39" w:rsidRDefault="00806FB8" w:rsidP="00806FB8">
      <w:pPr>
        <w:pStyle w:val="ListParagraph"/>
        <w:numPr>
          <w:ilvl w:val="0"/>
          <w:numId w:val="23"/>
        </w:numPr>
        <w:autoSpaceDE w:val="0"/>
        <w:autoSpaceDN w:val="0"/>
        <w:adjustRightInd w:val="0"/>
        <w:rPr>
          <w:sz w:val="24"/>
          <w:szCs w:val="24"/>
        </w:rPr>
      </w:pPr>
      <w:r w:rsidRPr="00A83B39">
        <w:rPr>
          <w:sz w:val="24"/>
          <w:szCs w:val="24"/>
        </w:rPr>
        <w:t>les dettes liées à l’exploitation, c'est-à-dire issues d’opérations d’assurance de coassurance ou de réassurance ;</w:t>
      </w:r>
    </w:p>
    <w:p w:rsidR="00806FB8" w:rsidRPr="00A83B39" w:rsidRDefault="00806FB8" w:rsidP="00806FB8">
      <w:pPr>
        <w:pStyle w:val="ListParagraph"/>
        <w:numPr>
          <w:ilvl w:val="0"/>
          <w:numId w:val="23"/>
        </w:numPr>
        <w:autoSpaceDE w:val="0"/>
        <w:autoSpaceDN w:val="0"/>
        <w:adjustRightInd w:val="0"/>
        <w:rPr>
          <w:sz w:val="24"/>
          <w:szCs w:val="24"/>
        </w:rPr>
      </w:pPr>
      <w:r w:rsidRPr="00A83B39">
        <w:rPr>
          <w:sz w:val="24"/>
          <w:szCs w:val="24"/>
        </w:rPr>
        <w:t>les dettes financières : emprunt obligataire et dettes envers les établissements de crédit ;</w:t>
      </w:r>
    </w:p>
    <w:p w:rsidR="00806FB8" w:rsidRPr="00A83B39" w:rsidRDefault="00806FB8" w:rsidP="00806FB8">
      <w:pPr>
        <w:pStyle w:val="ListParagraph"/>
        <w:numPr>
          <w:ilvl w:val="0"/>
          <w:numId w:val="23"/>
        </w:numPr>
        <w:autoSpaceDE w:val="0"/>
        <w:autoSpaceDN w:val="0"/>
        <w:adjustRightInd w:val="0"/>
        <w:rPr>
          <w:sz w:val="24"/>
          <w:szCs w:val="24"/>
        </w:rPr>
      </w:pPr>
      <w:r w:rsidRPr="00A83B39">
        <w:rPr>
          <w:sz w:val="24"/>
          <w:szCs w:val="24"/>
        </w:rPr>
        <w:t>enfin, les « autres dettes » comprennent :</w:t>
      </w:r>
    </w:p>
    <w:p w:rsidR="00806FB8" w:rsidRPr="00A83B39" w:rsidRDefault="00806FB8" w:rsidP="00806FB8">
      <w:pPr>
        <w:pStyle w:val="ListParagraph"/>
        <w:numPr>
          <w:ilvl w:val="1"/>
          <w:numId w:val="23"/>
        </w:numPr>
        <w:autoSpaceDE w:val="0"/>
        <w:autoSpaceDN w:val="0"/>
        <w:adjustRightInd w:val="0"/>
        <w:rPr>
          <w:sz w:val="24"/>
          <w:szCs w:val="24"/>
        </w:rPr>
      </w:pPr>
      <w:r w:rsidRPr="00A83B39">
        <w:rPr>
          <w:sz w:val="24"/>
          <w:szCs w:val="24"/>
        </w:rPr>
        <w:t xml:space="preserve">Les autres dettes financières : titres de créance négociables émis par l’entreprise et autres emprunts, dépôts et cautionnement reçus. </w:t>
      </w:r>
    </w:p>
    <w:p w:rsidR="00806FB8" w:rsidRPr="00A83B39" w:rsidRDefault="00806FB8" w:rsidP="00806FB8">
      <w:pPr>
        <w:pStyle w:val="ListParagraph"/>
        <w:numPr>
          <w:ilvl w:val="1"/>
          <w:numId w:val="23"/>
        </w:numPr>
        <w:autoSpaceDE w:val="0"/>
        <w:autoSpaceDN w:val="0"/>
        <w:adjustRightInd w:val="0"/>
        <w:rPr>
          <w:sz w:val="24"/>
          <w:szCs w:val="24"/>
        </w:rPr>
      </w:pPr>
      <w:r w:rsidRPr="00A83B39">
        <w:rPr>
          <w:sz w:val="24"/>
          <w:szCs w:val="24"/>
        </w:rPr>
        <w:t>Les autres dettes : dettes sur le personnel, l’état, les organismes de sécurité sociale et collectives publiques, créanciers divers…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(7) Compte de régularisation, passif</w:t>
      </w:r>
    </w:p>
    <w:p w:rsidR="00806FB8" w:rsidRPr="00A83B39" w:rsidRDefault="00806FB8" w:rsidP="00806FB8">
      <w:pPr>
        <w:autoSpaceDE w:val="0"/>
        <w:autoSpaceDN w:val="0"/>
        <w:adjustRightInd w:val="0"/>
        <w:rPr>
          <w:sz w:val="24"/>
          <w:szCs w:val="24"/>
        </w:rPr>
      </w:pPr>
      <w:r w:rsidRPr="00A83B39">
        <w:rPr>
          <w:sz w:val="24"/>
          <w:szCs w:val="24"/>
        </w:rPr>
        <w:t xml:space="preserve">Il s’agit essentiellement des surcotes obligataires, des différences de conversion de devises et de </w:t>
      </w:r>
      <w:proofErr w:type="spellStart"/>
      <w:r w:rsidRPr="00A83B39">
        <w:rPr>
          <w:sz w:val="24"/>
          <w:szCs w:val="24"/>
        </w:rPr>
        <w:t>tout</w:t>
      </w:r>
      <w:proofErr w:type="spellEnd"/>
      <w:r w:rsidRPr="00A83B39">
        <w:rPr>
          <w:sz w:val="24"/>
          <w:szCs w:val="24"/>
        </w:rPr>
        <w:t xml:space="preserve"> produits constatés d’avance ou à étaler.</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1"/>
          <w:numId w:val="12"/>
        </w:numPr>
        <w:ind w:left="788" w:hanging="431"/>
        <w:contextualSpacing w:val="0"/>
        <w:outlineLvl w:val="2"/>
        <w:rPr>
          <w:sz w:val="28"/>
        </w:rPr>
      </w:pPr>
      <w:bookmarkStart w:id="25" w:name="_Toc351126746"/>
      <w:r w:rsidRPr="00A83B39">
        <w:rPr>
          <w:sz w:val="28"/>
        </w:rPr>
        <w:t>Le compte de résultat</w:t>
      </w:r>
      <w:bookmarkEnd w:id="25"/>
    </w:p>
    <w:p w:rsidR="00806FB8" w:rsidRPr="00A83B39" w:rsidRDefault="00806FB8" w:rsidP="00806FB8">
      <w:pPr>
        <w:autoSpaceDE w:val="0"/>
        <w:autoSpaceDN w:val="0"/>
        <w:adjustRightInd w:val="0"/>
        <w:jc w:val="left"/>
        <w:rPr>
          <w:sz w:val="28"/>
        </w:rPr>
      </w:pPr>
    </w:p>
    <w:p w:rsidR="00806FB8" w:rsidRPr="00A83B39" w:rsidRDefault="00806FB8" w:rsidP="00806FB8">
      <w:pPr>
        <w:autoSpaceDE w:val="0"/>
        <w:autoSpaceDN w:val="0"/>
        <w:adjustRightInd w:val="0"/>
        <w:rPr>
          <w:sz w:val="24"/>
          <w:szCs w:val="24"/>
        </w:rPr>
      </w:pPr>
      <w:r w:rsidRPr="00A83B39">
        <w:rPr>
          <w:sz w:val="24"/>
          <w:szCs w:val="24"/>
        </w:rPr>
        <w:t>Le compte de résultat présente les flux de la période (l’exercice comptable). Il comprend deux parties bien distinctes : le compte technique et le compte non technique.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compte technique permet de présenter le résultat issu de l’activité d’assurance. Il est composé de deux parties : une partie « vie » qui concerne les entreprises agréées et une partie « non vie » pour les autres. Les entreprises « mixtes » qui sont autorisés à pratiquer à la fois des opérations vie et des opérations relatives à des risques corporels (accident et maladie) doivent en principe établir à la fois un compte de résultat vie et un compte de résultat non vie.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compte de résultat non technique présente les éléments non liés à l’activité d’assurance, c’est le cas notamment du résultat financier issu de la gestion des fonds propres, du résultat exceptionnel et de l’impôt sur les bénéfices.</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26" w:name="_Toc351126747"/>
      <w:r w:rsidRPr="00A83B39">
        <w:rPr>
          <w:sz w:val="28"/>
        </w:rPr>
        <w:t>Compte de résultat non vie</w:t>
      </w:r>
      <w:bookmarkEnd w:id="26"/>
    </w:p>
    <w:p w:rsidR="00806FB8" w:rsidRPr="00A83B39" w:rsidRDefault="00806FB8" w:rsidP="00806FB8">
      <w:pPr>
        <w:autoSpaceDE w:val="0"/>
        <w:autoSpaceDN w:val="0"/>
        <w:adjustRightInd w:val="0"/>
        <w:jc w:val="left"/>
        <w:rPr>
          <w:rFonts w:ascii="Arial" w:hAnsi="Arial" w:cs="Arial"/>
          <w:b/>
          <w:bCs/>
          <w:szCs w:val="22"/>
        </w:rPr>
      </w:pPr>
    </w:p>
    <w:p w:rsidR="00806FB8" w:rsidRPr="00A83B39" w:rsidRDefault="00806FB8" w:rsidP="00806FB8">
      <w:pPr>
        <w:autoSpaceDE w:val="0"/>
        <w:autoSpaceDN w:val="0"/>
        <w:adjustRightInd w:val="0"/>
        <w:rPr>
          <w:sz w:val="24"/>
          <w:szCs w:val="24"/>
        </w:rPr>
      </w:pPr>
      <w:r w:rsidRPr="00A83B39">
        <w:rPr>
          <w:sz w:val="24"/>
          <w:szCs w:val="24"/>
        </w:rPr>
        <w:t>Le résultat technique non vie est égal à la somme suivante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Les primes acquises à l’exercice</w:t>
      </w:r>
    </w:p>
    <w:p w:rsidR="00806FB8" w:rsidRPr="00A83B39" w:rsidRDefault="00806FB8" w:rsidP="00806FB8">
      <w:pPr>
        <w:autoSpaceDE w:val="0"/>
        <w:autoSpaceDN w:val="0"/>
        <w:adjustRightInd w:val="0"/>
        <w:rPr>
          <w:sz w:val="24"/>
          <w:szCs w:val="24"/>
        </w:rPr>
      </w:pPr>
      <w:r w:rsidRPr="00A83B39">
        <w:rPr>
          <w:sz w:val="24"/>
          <w:szCs w:val="24"/>
        </w:rPr>
        <w:t>(-) La charge des sinistres de l’exercice</w:t>
      </w:r>
    </w:p>
    <w:p w:rsidR="00806FB8" w:rsidRPr="00A83B39" w:rsidRDefault="00806FB8" w:rsidP="00806FB8">
      <w:pPr>
        <w:autoSpaceDE w:val="0"/>
        <w:autoSpaceDN w:val="0"/>
        <w:adjustRightInd w:val="0"/>
        <w:rPr>
          <w:sz w:val="24"/>
          <w:szCs w:val="24"/>
        </w:rPr>
      </w:pPr>
      <w:r w:rsidRPr="00A83B39">
        <w:rPr>
          <w:sz w:val="24"/>
          <w:szCs w:val="24"/>
        </w:rPr>
        <w:t>(+) Le résultat financier de l’exercice</w:t>
      </w:r>
    </w:p>
    <w:p w:rsidR="00806FB8" w:rsidRPr="00A83B39" w:rsidRDefault="00806FB8" w:rsidP="00806FB8">
      <w:pPr>
        <w:autoSpaceDE w:val="0"/>
        <w:autoSpaceDN w:val="0"/>
        <w:adjustRightInd w:val="0"/>
        <w:rPr>
          <w:sz w:val="24"/>
          <w:szCs w:val="24"/>
        </w:rPr>
      </w:pPr>
      <w:r w:rsidRPr="00A83B39">
        <w:rPr>
          <w:sz w:val="24"/>
          <w:szCs w:val="24"/>
        </w:rPr>
        <w:t>(-) Les frais de gestion</w:t>
      </w:r>
    </w:p>
    <w:p w:rsidR="00806FB8" w:rsidRPr="00A83B39" w:rsidRDefault="00806FB8" w:rsidP="00806FB8">
      <w:pPr>
        <w:autoSpaceDE w:val="0"/>
        <w:autoSpaceDN w:val="0"/>
        <w:adjustRightInd w:val="0"/>
        <w:rPr>
          <w:sz w:val="24"/>
          <w:szCs w:val="24"/>
        </w:rPr>
      </w:pPr>
      <w:r w:rsidRPr="00A83B39">
        <w:rPr>
          <w:sz w:val="24"/>
          <w:szCs w:val="24"/>
        </w:rPr>
        <w:t>(+/-) Plus ou moins le résultat des opérations de réassurance.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Il se présente de la manière suivante :</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tbl>
      <w:tblPr>
        <w:tblW w:w="10985" w:type="dxa"/>
        <w:jc w:val="center"/>
        <w:tblInd w:w="53" w:type="dxa"/>
        <w:tblCellMar>
          <w:left w:w="70" w:type="dxa"/>
          <w:right w:w="70" w:type="dxa"/>
        </w:tblCellMar>
        <w:tblLook w:val="04A0" w:firstRow="1" w:lastRow="0" w:firstColumn="1" w:lastColumn="0" w:noHBand="0" w:noVBand="1"/>
      </w:tblPr>
      <w:tblGrid>
        <w:gridCol w:w="3490"/>
        <w:gridCol w:w="360"/>
        <w:gridCol w:w="1557"/>
        <w:gridCol w:w="2067"/>
        <w:gridCol w:w="1549"/>
        <w:gridCol w:w="1962"/>
      </w:tblGrid>
      <w:tr w:rsidR="00806FB8" w:rsidRPr="00A83B39" w:rsidTr="003F50D4">
        <w:trPr>
          <w:trHeight w:val="300"/>
          <w:jc w:val="center"/>
        </w:trPr>
        <w:tc>
          <w:tcPr>
            <w:tcW w:w="349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360" w:type="dxa"/>
            <w:tcBorders>
              <w:top w:val="single" w:sz="4" w:space="0" w:color="auto"/>
              <w:left w:val="nil"/>
              <w:bottom w:val="single" w:sz="4" w:space="0" w:color="auto"/>
              <w:right w:val="single" w:sz="4" w:space="0" w:color="auto"/>
            </w:tcBorders>
            <w:shd w:val="clear" w:color="000000" w:fill="F2F2F2"/>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Opérations brutes</w:t>
            </w:r>
          </w:p>
        </w:tc>
        <w:tc>
          <w:tcPr>
            <w:tcW w:w="2067" w:type="dxa"/>
            <w:tcBorders>
              <w:top w:val="single" w:sz="4" w:space="0" w:color="auto"/>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Cessions et rétrocessions</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Opérations nettes</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Opérations nettes (N-1)</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8"/>
                <w:szCs w:val="22"/>
              </w:rPr>
            </w:pPr>
            <w:r w:rsidRPr="00A83B39">
              <w:rPr>
                <w:rFonts w:ascii="Calibri" w:hAnsi="Calibri"/>
                <w:b/>
                <w:bCs/>
                <w:color w:val="000000"/>
                <w:sz w:val="18"/>
                <w:szCs w:val="22"/>
              </w:rPr>
              <w:t>1. Primes acquises :</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124</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1. a. Primes</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156</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1. b. Variation des primes non acquises</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32</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8"/>
                <w:szCs w:val="22"/>
              </w:rPr>
            </w:pPr>
            <w:r w:rsidRPr="00A83B39">
              <w:rPr>
                <w:rFonts w:ascii="Calibri" w:hAnsi="Calibri"/>
                <w:b/>
                <w:bCs/>
                <w:color w:val="000000"/>
                <w:sz w:val="18"/>
                <w:szCs w:val="22"/>
              </w:rPr>
              <w:t>2. Produits des placements alloués</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42</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8"/>
                <w:szCs w:val="22"/>
              </w:rPr>
            </w:pPr>
            <w:r w:rsidRPr="00A83B39">
              <w:rPr>
                <w:rFonts w:ascii="Calibri" w:hAnsi="Calibri"/>
                <w:b/>
                <w:bCs/>
                <w:color w:val="000000"/>
                <w:sz w:val="18"/>
                <w:szCs w:val="22"/>
              </w:rPr>
              <w:t>3. Autres produits techniques</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3</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8"/>
                <w:szCs w:val="22"/>
              </w:rPr>
            </w:pPr>
            <w:r w:rsidRPr="00A83B39">
              <w:rPr>
                <w:rFonts w:ascii="Calibri" w:hAnsi="Calibri"/>
                <w:b/>
                <w:bCs/>
                <w:color w:val="000000"/>
                <w:sz w:val="18"/>
                <w:szCs w:val="22"/>
              </w:rPr>
              <w:t>4. Charges des sinistres</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119</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8"/>
                <w:szCs w:val="22"/>
              </w:rPr>
            </w:pPr>
            <w:r w:rsidRPr="00A83B39">
              <w:rPr>
                <w:rFonts w:ascii="Calibri" w:hAnsi="Calibri"/>
                <w:b/>
                <w:bCs/>
                <w:color w:val="000000"/>
                <w:sz w:val="18"/>
                <w:szCs w:val="22"/>
              </w:rPr>
              <w:t>5. Charges des autres provisions techniques</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3</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8"/>
                <w:szCs w:val="22"/>
              </w:rPr>
            </w:pPr>
            <w:r w:rsidRPr="00A83B39">
              <w:rPr>
                <w:rFonts w:ascii="Calibri" w:hAnsi="Calibri"/>
                <w:b/>
                <w:bCs/>
                <w:color w:val="000000"/>
                <w:sz w:val="18"/>
                <w:szCs w:val="22"/>
              </w:rPr>
              <w:t>6. Participations aux résultats</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0</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8"/>
                <w:szCs w:val="22"/>
              </w:rPr>
            </w:pPr>
            <w:r w:rsidRPr="00A83B39">
              <w:rPr>
                <w:rFonts w:ascii="Calibri" w:hAnsi="Calibri"/>
                <w:b/>
                <w:bCs/>
                <w:color w:val="000000"/>
                <w:sz w:val="18"/>
                <w:szCs w:val="22"/>
              </w:rPr>
              <w:t>7. Frais d'acquisition et d'administration :</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-18</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7. a. Frais d'acquisition</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12</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7. b. Frais d'administration</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14</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7. c. Commissions reçues des réassureurs</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8</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8"/>
                <w:szCs w:val="22"/>
              </w:rPr>
            </w:pPr>
            <w:r w:rsidRPr="00A83B39">
              <w:rPr>
                <w:rFonts w:ascii="Calibri" w:hAnsi="Calibri"/>
                <w:b/>
                <w:bCs/>
                <w:color w:val="000000"/>
                <w:sz w:val="18"/>
                <w:szCs w:val="22"/>
              </w:rPr>
              <w:t>8. Autres charges techniques</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5</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8"/>
                <w:szCs w:val="22"/>
              </w:rPr>
            </w:pPr>
            <w:r w:rsidRPr="00A83B39">
              <w:rPr>
                <w:rFonts w:ascii="Calibri" w:hAnsi="Calibri"/>
                <w:b/>
                <w:bCs/>
                <w:color w:val="000000"/>
                <w:sz w:val="18"/>
                <w:szCs w:val="22"/>
              </w:rPr>
              <w:t>9. Variation de la provision pour égalisation</w:t>
            </w:r>
          </w:p>
        </w:tc>
        <w:tc>
          <w:tcPr>
            <w:tcW w:w="36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-12</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r w:rsidR="00806FB8" w:rsidRPr="00A83B39" w:rsidTr="003F50D4">
        <w:trPr>
          <w:trHeight w:val="300"/>
          <w:jc w:val="center"/>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center"/>
              <w:rPr>
                <w:rFonts w:ascii="Calibri" w:hAnsi="Calibri"/>
                <w:b/>
                <w:bCs/>
                <w:color w:val="000000"/>
                <w:sz w:val="18"/>
                <w:szCs w:val="22"/>
              </w:rPr>
            </w:pPr>
            <w:r w:rsidRPr="00A83B39">
              <w:rPr>
                <w:rFonts w:ascii="Calibri" w:hAnsi="Calibri"/>
                <w:b/>
                <w:bCs/>
                <w:color w:val="000000"/>
                <w:sz w:val="18"/>
                <w:szCs w:val="22"/>
              </w:rPr>
              <w:t>Résultat technique de l'assurance non-vie</w:t>
            </w:r>
          </w:p>
        </w:tc>
        <w:tc>
          <w:tcPr>
            <w:tcW w:w="155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right"/>
              <w:rPr>
                <w:rFonts w:ascii="Calibri" w:hAnsi="Calibri"/>
                <w:color w:val="000000"/>
                <w:sz w:val="18"/>
                <w:szCs w:val="22"/>
              </w:rPr>
            </w:pPr>
            <w:r w:rsidRPr="00A83B39">
              <w:rPr>
                <w:rFonts w:ascii="Calibri" w:hAnsi="Calibri"/>
                <w:color w:val="000000"/>
                <w:sz w:val="18"/>
                <w:szCs w:val="22"/>
              </w:rPr>
              <w:t>44</w:t>
            </w:r>
          </w:p>
        </w:tc>
        <w:tc>
          <w:tcPr>
            <w:tcW w:w="2067"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54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8"/>
                <w:szCs w:val="22"/>
              </w:rPr>
            </w:pPr>
            <w:r w:rsidRPr="00A83B39">
              <w:rPr>
                <w:rFonts w:ascii="Calibri" w:hAnsi="Calibri"/>
                <w:color w:val="000000"/>
                <w:sz w:val="18"/>
                <w:szCs w:val="22"/>
              </w:rPr>
              <w:t> </w:t>
            </w:r>
          </w:p>
        </w:tc>
      </w:tr>
    </w:tbl>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rPr>
          <w:b/>
          <w:bCs/>
          <w:sz w:val="24"/>
          <w:szCs w:val="24"/>
        </w:rPr>
      </w:pPr>
      <w:r w:rsidRPr="00A83B39">
        <w:rPr>
          <w:b/>
          <w:bCs/>
          <w:sz w:val="24"/>
          <w:szCs w:val="24"/>
        </w:rPr>
        <w:t>(1) Les primes acquises à l’exercice</w:t>
      </w:r>
    </w:p>
    <w:p w:rsidR="00806FB8" w:rsidRPr="00A83B39" w:rsidRDefault="00806FB8" w:rsidP="00806FB8">
      <w:pPr>
        <w:autoSpaceDE w:val="0"/>
        <w:autoSpaceDN w:val="0"/>
        <w:adjustRightInd w:val="0"/>
        <w:rPr>
          <w:sz w:val="24"/>
          <w:szCs w:val="24"/>
        </w:rPr>
      </w:pPr>
      <w:r w:rsidRPr="00A83B39">
        <w:rPr>
          <w:sz w:val="24"/>
          <w:szCs w:val="24"/>
        </w:rPr>
        <w:t xml:space="preserve">Les primes sont comptabilisées hors taxes. L’émission (ou quittancement) de la prime peut prendre des fréquences différentes. Elle peut être mensuelle, trimestrielle, semestrielle ou </w:t>
      </w:r>
      <w:r w:rsidRPr="00A83B39">
        <w:rPr>
          <w:sz w:val="24"/>
          <w:szCs w:val="24"/>
        </w:rPr>
        <w:lastRenderedPageBreak/>
        <w:t xml:space="preserve">annuelle. On parle alors de </w:t>
      </w:r>
      <w:r w:rsidRPr="00A83B39">
        <w:rPr>
          <w:b/>
          <w:bCs/>
          <w:sz w:val="24"/>
          <w:szCs w:val="24"/>
        </w:rPr>
        <w:t>primes émises</w:t>
      </w:r>
      <w:r w:rsidRPr="00A83B39">
        <w:rPr>
          <w:sz w:val="24"/>
          <w:szCs w:val="24"/>
        </w:rPr>
        <w:t xml:space="preserve">. De fait une prime émise peut couvrir deux exercices comptables différents. C’est pourquoi les sociétés calculent une </w:t>
      </w:r>
      <w:r w:rsidRPr="00A83B39">
        <w:rPr>
          <w:b/>
          <w:bCs/>
          <w:sz w:val="24"/>
          <w:szCs w:val="24"/>
        </w:rPr>
        <w:t xml:space="preserve">provision pour primes non acquises </w:t>
      </w:r>
      <w:r w:rsidRPr="00A83B39">
        <w:rPr>
          <w:sz w:val="24"/>
          <w:szCs w:val="24"/>
        </w:rPr>
        <w:t xml:space="preserve">(PNA) afin d’annuler la partie des primes émises qui couvre l’exercice comptable suivant. Ce concept correspond au concept comptable de produits constatés d’avance.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montant des primes émises de l’exercice doit également prendre en compte :</w:t>
      </w:r>
    </w:p>
    <w:p w:rsidR="00806FB8" w:rsidRPr="00A83B39" w:rsidRDefault="00806FB8" w:rsidP="00806FB8">
      <w:pPr>
        <w:pStyle w:val="ListParagraph"/>
        <w:numPr>
          <w:ilvl w:val="0"/>
          <w:numId w:val="22"/>
        </w:numPr>
        <w:autoSpaceDE w:val="0"/>
        <w:autoSpaceDN w:val="0"/>
        <w:adjustRightInd w:val="0"/>
        <w:rPr>
          <w:sz w:val="24"/>
          <w:szCs w:val="24"/>
        </w:rPr>
      </w:pPr>
      <w:r w:rsidRPr="00A83B39">
        <w:rPr>
          <w:sz w:val="24"/>
          <w:szCs w:val="24"/>
        </w:rPr>
        <w:t xml:space="preserve">les </w:t>
      </w:r>
      <w:r w:rsidRPr="00A83B39">
        <w:rPr>
          <w:b/>
          <w:bCs/>
          <w:sz w:val="24"/>
          <w:szCs w:val="24"/>
        </w:rPr>
        <w:t>primes à émettre</w:t>
      </w:r>
      <w:r w:rsidRPr="00A83B39">
        <w:rPr>
          <w:sz w:val="24"/>
          <w:szCs w:val="24"/>
        </w:rPr>
        <w:t>, qui sont des primes qui se rattachent à l’exercice mais qui n’ont pas pu être émises à temps (retard administratif, police à déclaration…) ;</w:t>
      </w:r>
    </w:p>
    <w:p w:rsidR="00806FB8" w:rsidRPr="00A83B39" w:rsidRDefault="00806FB8" w:rsidP="00806FB8">
      <w:pPr>
        <w:pStyle w:val="ListParagraph"/>
        <w:numPr>
          <w:ilvl w:val="0"/>
          <w:numId w:val="22"/>
        </w:numPr>
        <w:autoSpaceDE w:val="0"/>
        <w:autoSpaceDN w:val="0"/>
        <w:adjustRightInd w:val="0"/>
        <w:rPr>
          <w:sz w:val="24"/>
          <w:szCs w:val="24"/>
        </w:rPr>
      </w:pPr>
      <w:r w:rsidRPr="00A83B39">
        <w:rPr>
          <w:sz w:val="24"/>
          <w:szCs w:val="24"/>
        </w:rPr>
        <w:t xml:space="preserve">les </w:t>
      </w:r>
      <w:r w:rsidRPr="00A83B39">
        <w:rPr>
          <w:b/>
          <w:bCs/>
          <w:sz w:val="24"/>
          <w:szCs w:val="24"/>
        </w:rPr>
        <w:t>primes à annuler</w:t>
      </w:r>
      <w:r w:rsidRPr="00A83B39">
        <w:rPr>
          <w:sz w:val="24"/>
          <w:szCs w:val="24"/>
        </w:rPr>
        <w:t>, qui sont les primes qui sont susceptibles d’être annulées au cours des exercices futurs (impayées, modification contrat, retard administratif…).</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(2) Produits des placements alloués</w:t>
      </w:r>
    </w:p>
    <w:p w:rsidR="00806FB8" w:rsidRPr="00A83B39" w:rsidRDefault="00806FB8" w:rsidP="00806FB8">
      <w:pPr>
        <w:autoSpaceDE w:val="0"/>
        <w:autoSpaceDN w:val="0"/>
        <w:adjustRightInd w:val="0"/>
        <w:rPr>
          <w:sz w:val="24"/>
          <w:szCs w:val="24"/>
        </w:rPr>
      </w:pPr>
      <w:r w:rsidRPr="00A83B39">
        <w:rPr>
          <w:sz w:val="24"/>
          <w:szCs w:val="24"/>
        </w:rPr>
        <w:t>Il s’agit du montant de produits financiers dégagés par l’entreprise entre l’encaissement de la prime et le règlement des sinistres. D’un point de vue comptable le résultat financier passe par le compte non technique et la quote-part liée à l’activité technique est ensuite « allouée » au compte de résultat technique. Un montant inverse est donc présenté au niveau du compte de résultat non technique.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(3) Autres produits techniques</w:t>
      </w:r>
    </w:p>
    <w:p w:rsidR="00806FB8" w:rsidRPr="00A83B39" w:rsidRDefault="00806FB8" w:rsidP="00806FB8">
      <w:pPr>
        <w:autoSpaceDE w:val="0"/>
        <w:autoSpaceDN w:val="0"/>
        <w:adjustRightInd w:val="0"/>
        <w:rPr>
          <w:sz w:val="24"/>
          <w:szCs w:val="24"/>
        </w:rPr>
      </w:pPr>
      <w:r w:rsidRPr="00A83B39">
        <w:rPr>
          <w:sz w:val="24"/>
          <w:szCs w:val="24"/>
        </w:rPr>
        <w:t>Ce poste regroupe les produits techniques accessoires.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(4) Charges des sinistres</w:t>
      </w:r>
    </w:p>
    <w:p w:rsidR="00806FB8" w:rsidRPr="00A83B39" w:rsidRDefault="00806FB8" w:rsidP="00806FB8">
      <w:pPr>
        <w:autoSpaceDE w:val="0"/>
        <w:autoSpaceDN w:val="0"/>
        <w:adjustRightInd w:val="0"/>
        <w:rPr>
          <w:sz w:val="24"/>
          <w:szCs w:val="24"/>
        </w:rPr>
      </w:pPr>
      <w:r w:rsidRPr="00A83B39">
        <w:rPr>
          <w:sz w:val="24"/>
          <w:szCs w:val="24"/>
        </w:rPr>
        <w:t>La charge de sinistre brute de recours est égale aux :</w:t>
      </w:r>
    </w:p>
    <w:p w:rsidR="00806FB8" w:rsidRPr="00A83B39" w:rsidRDefault="00806FB8" w:rsidP="00806FB8">
      <w:pPr>
        <w:autoSpaceDE w:val="0"/>
        <w:autoSpaceDN w:val="0"/>
        <w:adjustRightInd w:val="0"/>
        <w:rPr>
          <w:sz w:val="24"/>
          <w:szCs w:val="24"/>
        </w:rPr>
      </w:pPr>
      <w:r w:rsidRPr="00A83B39">
        <w:rPr>
          <w:sz w:val="24"/>
          <w:szCs w:val="24"/>
        </w:rPr>
        <w:t>(+) Sinistres payés</w:t>
      </w:r>
    </w:p>
    <w:p w:rsidR="00806FB8" w:rsidRPr="00A83B39" w:rsidRDefault="00806FB8" w:rsidP="00806FB8">
      <w:pPr>
        <w:autoSpaceDE w:val="0"/>
        <w:autoSpaceDN w:val="0"/>
        <w:adjustRightInd w:val="0"/>
        <w:rPr>
          <w:sz w:val="24"/>
          <w:szCs w:val="24"/>
        </w:rPr>
      </w:pPr>
      <w:r w:rsidRPr="00A83B39">
        <w:rPr>
          <w:sz w:val="24"/>
          <w:szCs w:val="24"/>
        </w:rPr>
        <w:t>(+) Frais de gestion des sinistres</w:t>
      </w:r>
    </w:p>
    <w:p w:rsidR="00806FB8" w:rsidRPr="00A83B39" w:rsidRDefault="00806FB8" w:rsidP="00806FB8">
      <w:pPr>
        <w:autoSpaceDE w:val="0"/>
        <w:autoSpaceDN w:val="0"/>
        <w:adjustRightInd w:val="0"/>
        <w:rPr>
          <w:sz w:val="24"/>
          <w:szCs w:val="24"/>
        </w:rPr>
      </w:pPr>
      <w:r w:rsidRPr="00A83B39">
        <w:rPr>
          <w:sz w:val="24"/>
          <w:szCs w:val="24"/>
        </w:rPr>
        <w:t>(+/-) Variation de la provision pour sinistres à payer</w:t>
      </w:r>
    </w:p>
    <w:p w:rsidR="00806FB8" w:rsidRPr="00A83B39" w:rsidRDefault="00806FB8" w:rsidP="00806FB8">
      <w:pPr>
        <w:autoSpaceDE w:val="0"/>
        <w:autoSpaceDN w:val="0"/>
        <w:adjustRightInd w:val="0"/>
        <w:rPr>
          <w:sz w:val="24"/>
          <w:szCs w:val="24"/>
        </w:rPr>
      </w:pPr>
      <w:r w:rsidRPr="00A83B39">
        <w:rPr>
          <w:sz w:val="24"/>
          <w:szCs w:val="24"/>
        </w:rPr>
        <w:t>(+/-) Variation de la provision pour frais de gestion des sinistres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La charge de sinistre nette de recours intègre les recours encaissés, les prévisions de recours, déduction faite des frais de recouvrement de ceux-ci.</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montant des sinistres payés dans l’année correspond aux paiements faits au titre de sinistres de l’année ou des exercices antérieurs (ceux-ci ayant fait en principe l’objet d’un provisionnement).</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La provision pour sinistres à payer est composée de deux types de provisions :</w:t>
      </w:r>
    </w:p>
    <w:p w:rsidR="00806FB8" w:rsidRPr="00A83B39" w:rsidRDefault="00806FB8" w:rsidP="00806FB8">
      <w:pPr>
        <w:pStyle w:val="ListParagraph"/>
        <w:numPr>
          <w:ilvl w:val="0"/>
          <w:numId w:val="21"/>
        </w:numPr>
        <w:autoSpaceDE w:val="0"/>
        <w:autoSpaceDN w:val="0"/>
        <w:adjustRightInd w:val="0"/>
        <w:rPr>
          <w:sz w:val="24"/>
          <w:szCs w:val="24"/>
        </w:rPr>
      </w:pPr>
      <w:r w:rsidRPr="00A83B39">
        <w:rPr>
          <w:sz w:val="24"/>
          <w:szCs w:val="24"/>
        </w:rPr>
        <w:t>une provision au titre des sinistres connus mais non réglés. Ceux-ci font l’objet d’une évaluation dossier par dossier ou par le biais de méthodes statistiques dans le cas de sinistres de masse ;</w:t>
      </w:r>
    </w:p>
    <w:p w:rsidR="00806FB8" w:rsidRPr="00A83B39" w:rsidRDefault="00806FB8" w:rsidP="00806FB8">
      <w:pPr>
        <w:pStyle w:val="ListParagraph"/>
        <w:numPr>
          <w:ilvl w:val="0"/>
          <w:numId w:val="21"/>
        </w:numPr>
        <w:autoSpaceDE w:val="0"/>
        <w:autoSpaceDN w:val="0"/>
        <w:adjustRightInd w:val="0"/>
        <w:rPr>
          <w:sz w:val="24"/>
          <w:szCs w:val="24"/>
        </w:rPr>
      </w:pPr>
      <w:r w:rsidRPr="00A83B39">
        <w:rPr>
          <w:sz w:val="24"/>
          <w:szCs w:val="24"/>
        </w:rPr>
        <w:t>une provision au titre des sinistres non connus, ou parle alors d’IBNR (</w:t>
      </w:r>
      <w:proofErr w:type="spellStart"/>
      <w:r w:rsidRPr="00A83B39">
        <w:rPr>
          <w:sz w:val="24"/>
          <w:szCs w:val="24"/>
        </w:rPr>
        <w:t>incurred</w:t>
      </w:r>
      <w:proofErr w:type="spellEnd"/>
      <w:r w:rsidRPr="00A83B39">
        <w:rPr>
          <w:sz w:val="24"/>
          <w:szCs w:val="24"/>
        </w:rPr>
        <w:t xml:space="preserve"> but not </w:t>
      </w:r>
      <w:proofErr w:type="spellStart"/>
      <w:r w:rsidRPr="00A83B39">
        <w:rPr>
          <w:sz w:val="24"/>
          <w:szCs w:val="24"/>
        </w:rPr>
        <w:t>reported</w:t>
      </w:r>
      <w:proofErr w:type="spellEnd"/>
      <w:r w:rsidRPr="00A83B39">
        <w:rPr>
          <w:sz w:val="24"/>
          <w:szCs w:val="24"/>
        </w:rPr>
        <w:t xml:space="preserve">). L’évaluation peut être faite de façon statistique ou forfaitaire.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montant des frais de gestion des sinistres non réglés fait également l’objet d’une estimation au travers de la provision pour frais de gestion des sinistres.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Dans le cas particulier de l’assurance construction, la provision pour sinistre est alourdie d’un montant de provision pour sinistres non encore manifesté.</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(5) Charges des autres provisions techniques</w:t>
      </w:r>
    </w:p>
    <w:p w:rsidR="00806FB8" w:rsidRPr="00A83B39" w:rsidRDefault="00806FB8" w:rsidP="00806FB8">
      <w:pPr>
        <w:autoSpaceDE w:val="0"/>
        <w:autoSpaceDN w:val="0"/>
        <w:adjustRightInd w:val="0"/>
        <w:rPr>
          <w:sz w:val="24"/>
          <w:szCs w:val="24"/>
        </w:rPr>
      </w:pPr>
      <w:r w:rsidRPr="00A83B39">
        <w:rPr>
          <w:sz w:val="24"/>
          <w:szCs w:val="24"/>
        </w:rPr>
        <w:t>Ce poste englobe notamment les variations des provisions suivantes :</w:t>
      </w:r>
    </w:p>
    <w:p w:rsidR="00806FB8" w:rsidRPr="00A83B39" w:rsidRDefault="00806FB8" w:rsidP="00806FB8">
      <w:pPr>
        <w:pStyle w:val="ListParagraph"/>
        <w:numPr>
          <w:ilvl w:val="0"/>
          <w:numId w:val="20"/>
        </w:numPr>
        <w:autoSpaceDE w:val="0"/>
        <w:autoSpaceDN w:val="0"/>
        <w:adjustRightInd w:val="0"/>
        <w:rPr>
          <w:sz w:val="24"/>
          <w:szCs w:val="24"/>
        </w:rPr>
      </w:pPr>
      <w:r w:rsidRPr="00A83B39">
        <w:rPr>
          <w:sz w:val="24"/>
          <w:szCs w:val="24"/>
        </w:rPr>
        <w:t>la provision pour risque croissant (PRC) ;</w:t>
      </w:r>
    </w:p>
    <w:p w:rsidR="00806FB8" w:rsidRPr="00A83B39" w:rsidRDefault="00806FB8" w:rsidP="00806FB8">
      <w:pPr>
        <w:pStyle w:val="ListParagraph"/>
        <w:numPr>
          <w:ilvl w:val="0"/>
          <w:numId w:val="20"/>
        </w:numPr>
        <w:autoSpaceDE w:val="0"/>
        <w:autoSpaceDN w:val="0"/>
        <w:adjustRightInd w:val="0"/>
        <w:rPr>
          <w:sz w:val="24"/>
          <w:szCs w:val="24"/>
        </w:rPr>
      </w:pPr>
      <w:r w:rsidRPr="00A83B39">
        <w:rPr>
          <w:sz w:val="24"/>
          <w:szCs w:val="24"/>
        </w:rPr>
        <w:t>la provision mathématique des rentes ;</w:t>
      </w:r>
    </w:p>
    <w:p w:rsidR="00806FB8" w:rsidRPr="00A83B39" w:rsidRDefault="00806FB8" w:rsidP="00806FB8">
      <w:pPr>
        <w:pStyle w:val="ListParagraph"/>
        <w:numPr>
          <w:ilvl w:val="0"/>
          <w:numId w:val="20"/>
        </w:numPr>
        <w:autoSpaceDE w:val="0"/>
        <w:autoSpaceDN w:val="0"/>
        <w:adjustRightInd w:val="0"/>
        <w:rPr>
          <w:sz w:val="24"/>
          <w:szCs w:val="24"/>
        </w:rPr>
      </w:pPr>
      <w:r w:rsidRPr="00A83B39">
        <w:rPr>
          <w:sz w:val="24"/>
          <w:szCs w:val="24"/>
        </w:rPr>
        <w:t>la provision pour risque d’exigibilité des engagements techniques (PRE).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(6) Participation aux résultats</w:t>
      </w:r>
    </w:p>
    <w:p w:rsidR="00806FB8" w:rsidRPr="00A83B39" w:rsidRDefault="00806FB8" w:rsidP="00806FB8">
      <w:pPr>
        <w:autoSpaceDE w:val="0"/>
        <w:autoSpaceDN w:val="0"/>
        <w:adjustRightInd w:val="0"/>
        <w:rPr>
          <w:sz w:val="24"/>
          <w:szCs w:val="24"/>
        </w:rPr>
      </w:pPr>
      <w:r w:rsidRPr="00A83B39">
        <w:rPr>
          <w:sz w:val="24"/>
          <w:szCs w:val="24"/>
        </w:rPr>
        <w:lastRenderedPageBreak/>
        <w:t>En non vie cette rubrique reprend les ristournes déduites des primes et les intérêts techniques intégrés aux versements de rentes ou aux provisions mathématiques de rentes.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(7) Frais d'acquisition et d'administration</w:t>
      </w:r>
    </w:p>
    <w:p w:rsidR="00806FB8" w:rsidRPr="00A83B39" w:rsidRDefault="00806FB8" w:rsidP="00806FB8">
      <w:pPr>
        <w:autoSpaceDE w:val="0"/>
        <w:autoSpaceDN w:val="0"/>
        <w:adjustRightInd w:val="0"/>
        <w:rPr>
          <w:sz w:val="24"/>
          <w:szCs w:val="24"/>
        </w:rPr>
      </w:pPr>
      <w:r w:rsidRPr="00A83B39">
        <w:rPr>
          <w:sz w:val="24"/>
          <w:szCs w:val="24"/>
        </w:rPr>
        <w:t>Il s’agit de l’ensemble des frais liés à l’acquisition et à l’administration des contrats. Il s’agit aussi bien de commissions versées aux apporteurs d’affaires que de frais généraux.</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(8) Autres charges techniques</w:t>
      </w:r>
    </w:p>
    <w:p w:rsidR="00806FB8" w:rsidRPr="00A83B39" w:rsidRDefault="00806FB8" w:rsidP="00806FB8">
      <w:pPr>
        <w:autoSpaceDE w:val="0"/>
        <w:autoSpaceDN w:val="0"/>
        <w:adjustRightInd w:val="0"/>
        <w:rPr>
          <w:sz w:val="24"/>
          <w:szCs w:val="24"/>
        </w:rPr>
      </w:pPr>
      <w:r w:rsidRPr="00A83B39">
        <w:rPr>
          <w:sz w:val="24"/>
          <w:szCs w:val="24"/>
        </w:rPr>
        <w:t>Il s’agit des frais généraux liés à l’activité d’assurance mais qui ne peuvent pas être rattachés à l’une des autres destinations (gestion des sinistres, acquisition ou administration des contrats, gestion des placements)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(9) Provision pour égalisation</w:t>
      </w:r>
    </w:p>
    <w:p w:rsidR="00806FB8" w:rsidRPr="00A83B39" w:rsidRDefault="00806FB8" w:rsidP="00806FB8">
      <w:pPr>
        <w:autoSpaceDE w:val="0"/>
        <w:autoSpaceDN w:val="0"/>
        <w:adjustRightInd w:val="0"/>
        <w:rPr>
          <w:sz w:val="24"/>
          <w:szCs w:val="24"/>
        </w:rPr>
      </w:pPr>
      <w:r w:rsidRPr="00A83B39">
        <w:rPr>
          <w:sz w:val="24"/>
          <w:szCs w:val="24"/>
        </w:rPr>
        <w:t>Cette provision est constituée pour faire face aux charges exceptionnelles afférentes aux opérations garantissant certains risques : éléments naturels (grêle, catastrophes naturelles, autres), risque atomique, risque de RC dû à la pollution et risques spatiaux. Ces risques présentent en effet un caractère cyclique ou aléatoire, et l’analyse de la sinistralité ne peut se faire que sur une période bien plus longue qu’un exercice comptable. L’objectif est de mettre en réserve, en franchise d’impôt, une partie du résultat des bonnes années pour pouvoir combler le résultat des mauvaises.</w:t>
      </w:r>
    </w:p>
    <w:p w:rsidR="00806FB8" w:rsidRPr="00A83B39" w:rsidRDefault="00806FB8" w:rsidP="00806FB8">
      <w:pPr>
        <w:autoSpaceDE w:val="0"/>
        <w:autoSpaceDN w:val="0"/>
        <w:adjustRightInd w:val="0"/>
        <w:rPr>
          <w:sz w:val="24"/>
          <w:szCs w:val="24"/>
        </w:rPr>
      </w:pPr>
      <w:r w:rsidRPr="00A83B39">
        <w:rPr>
          <w:sz w:val="24"/>
          <w:szCs w:val="24"/>
        </w:rPr>
        <w:t>Fiscalement les dotations annuelles ne peuvent excéder 75 % du bénéfice technique de la catégorie de risque concernée. Par rapport aux primes émises au cours de l’exercice, le montant global de la provision ne peut excéder certains seuils (par exemple 200% pour l’assurance grêle, 300% pour les risques de catastrophe naturelle, etc.). Les dotations non utilisées dans un délai de 10 ans sont rapportées au bénéfice imposable de la onzième année.</w:t>
      </w:r>
    </w:p>
    <w:p w:rsidR="00806FB8" w:rsidRPr="00A83B39" w:rsidRDefault="00806FB8" w:rsidP="00806FB8">
      <w:pPr>
        <w:autoSpaceDE w:val="0"/>
        <w:autoSpaceDN w:val="0"/>
        <w:adjustRightInd w:val="0"/>
        <w:rPr>
          <w:sz w:val="24"/>
          <w:szCs w:val="24"/>
        </w:rPr>
      </w:pPr>
      <w:r w:rsidRPr="00A83B39">
        <w:rPr>
          <w:sz w:val="24"/>
          <w:szCs w:val="24"/>
        </w:rPr>
        <w:t>La provision pour égalisation est également utilisée pour compenser les fluctuations de sinistralité relatives aux assurances de groupe contre le dommage corporel.</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27" w:name="_Toc351126748"/>
      <w:r w:rsidRPr="00A83B39">
        <w:rPr>
          <w:sz w:val="28"/>
        </w:rPr>
        <w:t>Compte de résultat vie</w:t>
      </w:r>
      <w:bookmarkEnd w:id="27"/>
    </w:p>
    <w:p w:rsidR="00806FB8" w:rsidRPr="00A83B39" w:rsidRDefault="00806FB8" w:rsidP="00806FB8">
      <w:pPr>
        <w:autoSpaceDE w:val="0"/>
        <w:autoSpaceDN w:val="0"/>
        <w:adjustRightInd w:val="0"/>
        <w:jc w:val="left"/>
        <w:rPr>
          <w:rFonts w:ascii="Arial" w:hAnsi="Arial" w:cs="Arial"/>
          <w:b/>
          <w:bCs/>
          <w:szCs w:val="22"/>
        </w:rPr>
      </w:pPr>
    </w:p>
    <w:p w:rsidR="00806FB8" w:rsidRPr="00A83B39" w:rsidRDefault="00806FB8" w:rsidP="00806FB8">
      <w:pPr>
        <w:autoSpaceDE w:val="0"/>
        <w:autoSpaceDN w:val="0"/>
        <w:adjustRightInd w:val="0"/>
        <w:rPr>
          <w:sz w:val="24"/>
          <w:szCs w:val="24"/>
        </w:rPr>
      </w:pPr>
      <w:r w:rsidRPr="00A83B39">
        <w:rPr>
          <w:sz w:val="24"/>
          <w:szCs w:val="24"/>
        </w:rPr>
        <w:t>Les contrats d’assurance vie répondent à plusieurs attentes de la part des assurés : une volonté de prévoyance (contrat d’assurance en cas de décès), ou une volonté d’épargner et/ou préparer sa retraite (contrat d’assurance en cas de vie). En assurance décès (prévoyance), le résultat s’apparente au résultat en non vie. En revanche en épargne la logique est différente.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Les produits d’épargne peuvent être, schématiquement, classés en deux types de contrats : en euros ou en unités de compte (UC).</w:t>
      </w:r>
    </w:p>
    <w:p w:rsidR="00806FB8" w:rsidRPr="00A83B39" w:rsidRDefault="00806FB8" w:rsidP="00806FB8">
      <w:pPr>
        <w:autoSpaceDE w:val="0"/>
        <w:autoSpaceDN w:val="0"/>
        <w:adjustRightInd w:val="0"/>
        <w:rPr>
          <w:sz w:val="24"/>
          <w:szCs w:val="24"/>
        </w:rPr>
      </w:pPr>
      <w:r w:rsidRPr="00A83B39">
        <w:rPr>
          <w:sz w:val="24"/>
          <w:szCs w:val="24"/>
        </w:rPr>
        <w:t xml:space="preserve">Les contrats en euros sont des contrats où l’assureur investit les sommes versées afin de dégager des résultats financiers. Chaque année, en fonction du rendement de l’actif et des caractéristiques du contrat, il revalorisera l’épargne (la provision mathématique) de l’assuré. Ces gains sont définitivement acquis par l’assuré (on parle d’effet cliquet). </w:t>
      </w:r>
    </w:p>
    <w:p w:rsidR="00806FB8" w:rsidRPr="00A83B39" w:rsidRDefault="00806FB8" w:rsidP="00806FB8">
      <w:pPr>
        <w:autoSpaceDE w:val="0"/>
        <w:autoSpaceDN w:val="0"/>
        <w:adjustRightInd w:val="0"/>
        <w:rPr>
          <w:sz w:val="24"/>
          <w:szCs w:val="24"/>
        </w:rPr>
      </w:pPr>
      <w:r w:rsidRPr="00A83B39">
        <w:rPr>
          <w:sz w:val="24"/>
          <w:szCs w:val="24"/>
        </w:rPr>
        <w:t>Les contrats en UC sont des contrats où les fonds sont investis sur des unités de placement telles que des SICAV ou des parts de SCI. La liste des supports admissibles est détaillée dans le code des assurances (Article L131-1 et R131-1). La valeur de l’épargne de l’assuré varie donc en fonction de l’évolution de la valeur des unités. Le risque de placement est ainsi en théorie porté par l’assuré.</w:t>
      </w:r>
    </w:p>
    <w:p w:rsidR="00806FB8" w:rsidRPr="00A83B39" w:rsidRDefault="00806FB8" w:rsidP="00806FB8">
      <w:pPr>
        <w:autoSpaceDE w:val="0"/>
        <w:autoSpaceDN w:val="0"/>
        <w:adjustRightInd w:val="0"/>
        <w:rPr>
          <w:sz w:val="24"/>
          <w:szCs w:val="24"/>
        </w:rPr>
      </w:pPr>
      <w:r w:rsidRPr="00A83B39">
        <w:rPr>
          <w:sz w:val="24"/>
          <w:szCs w:val="24"/>
        </w:rPr>
        <w:t>On parlera de contrat « multi-supports » lorsque le contrat est adossé à plusieurs supports, dont éventuellement un support euro.</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En assurance vie, la rémunération de l’assureur est donc fonction des </w:t>
      </w:r>
      <w:r w:rsidRPr="00A83B39">
        <w:rPr>
          <w:b/>
          <w:bCs/>
          <w:sz w:val="24"/>
          <w:szCs w:val="24"/>
        </w:rPr>
        <w:t xml:space="preserve">revenus financiers </w:t>
      </w:r>
      <w:r w:rsidRPr="00A83B39">
        <w:rPr>
          <w:sz w:val="24"/>
          <w:szCs w:val="24"/>
        </w:rPr>
        <w:t xml:space="preserve">(qui permettent des prélèvements sur les encours) et des </w:t>
      </w:r>
      <w:r w:rsidRPr="00A83B39">
        <w:rPr>
          <w:b/>
          <w:bCs/>
          <w:sz w:val="24"/>
          <w:szCs w:val="24"/>
        </w:rPr>
        <w:t xml:space="preserve">primes </w:t>
      </w:r>
      <w:r w:rsidRPr="00A83B39">
        <w:rPr>
          <w:sz w:val="24"/>
          <w:szCs w:val="24"/>
        </w:rPr>
        <w:t>(chargement d’acquisition). Elle est fortement limitée par l’obligation réglementaire de</w:t>
      </w:r>
      <w:r w:rsidRPr="00A83B39">
        <w:rPr>
          <w:b/>
          <w:bCs/>
          <w:sz w:val="24"/>
          <w:szCs w:val="24"/>
        </w:rPr>
        <w:t xml:space="preserve"> </w:t>
      </w:r>
      <w:r w:rsidRPr="00A83B39">
        <w:rPr>
          <w:sz w:val="24"/>
          <w:szCs w:val="24"/>
        </w:rPr>
        <w:t>distribuer au moins 85% des résultats financier et 90% du résultat technique aux</w:t>
      </w:r>
      <w:r w:rsidRPr="00A83B39">
        <w:rPr>
          <w:b/>
          <w:bCs/>
          <w:sz w:val="24"/>
          <w:szCs w:val="24"/>
        </w:rPr>
        <w:t xml:space="preserve"> </w:t>
      </w:r>
      <w:r w:rsidRPr="00A83B39">
        <w:rPr>
          <w:sz w:val="24"/>
          <w:szCs w:val="24"/>
        </w:rPr>
        <w:t>assurés.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compte de résultat technique vie se présente de la manière suivante :</w:t>
      </w:r>
    </w:p>
    <w:p w:rsidR="00806FB8" w:rsidRPr="00A83B39" w:rsidRDefault="00806FB8" w:rsidP="00806FB8">
      <w:pPr>
        <w:autoSpaceDE w:val="0"/>
        <w:autoSpaceDN w:val="0"/>
        <w:adjustRightInd w:val="0"/>
        <w:jc w:val="left"/>
        <w:rPr>
          <w:rFonts w:ascii="ArialMT" w:hAnsi="ArialMT" w:cs="ArialMT"/>
          <w:szCs w:val="22"/>
        </w:rPr>
      </w:pPr>
    </w:p>
    <w:tbl>
      <w:tblPr>
        <w:tblW w:w="9159" w:type="dxa"/>
        <w:jc w:val="center"/>
        <w:tblInd w:w="53" w:type="dxa"/>
        <w:tblCellMar>
          <w:left w:w="70" w:type="dxa"/>
          <w:right w:w="70" w:type="dxa"/>
        </w:tblCellMar>
        <w:tblLook w:val="04A0" w:firstRow="1" w:lastRow="0" w:firstColumn="1" w:lastColumn="0" w:noHBand="0" w:noVBand="1"/>
      </w:tblPr>
      <w:tblGrid>
        <w:gridCol w:w="1934"/>
        <w:gridCol w:w="240"/>
        <w:gridCol w:w="1399"/>
        <w:gridCol w:w="1853"/>
        <w:gridCol w:w="1393"/>
        <w:gridCol w:w="2340"/>
      </w:tblGrid>
      <w:tr w:rsidR="00806FB8" w:rsidRPr="00A83B39" w:rsidTr="003F50D4">
        <w:trPr>
          <w:trHeight w:val="300"/>
          <w:jc w:val="center"/>
        </w:trPr>
        <w:tc>
          <w:tcPr>
            <w:tcW w:w="19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lastRenderedPageBreak/>
              <w:t> </w:t>
            </w:r>
          </w:p>
        </w:tc>
        <w:tc>
          <w:tcPr>
            <w:tcW w:w="240" w:type="dxa"/>
            <w:tcBorders>
              <w:top w:val="single" w:sz="4" w:space="0" w:color="auto"/>
              <w:left w:val="nil"/>
              <w:bottom w:val="single" w:sz="4" w:space="0" w:color="auto"/>
              <w:right w:val="single" w:sz="4" w:space="0" w:color="auto"/>
            </w:tcBorders>
            <w:shd w:val="clear" w:color="000000" w:fill="F2F2F2"/>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Opérations brutes</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Cessions et rétrocessions</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Opérations nettes</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Opérations nettes (N-1)</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1. Primes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2. Produits des placements :</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2. a. Revenus des placements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2. b. Autres produits des placements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2. c. Profits provenant de la réalisation de placements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3. Ajustements ACAV (plus-values)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4. Autres produits techniques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5. Charges des sinistres :</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5. a. Prestations et frais payés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5. b. Charges des provisions pour sinistres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6. Charges des provisions d'assurance vie et autres provisions techniques :</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6. a. Provisions d'assurance vie</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6. b. Provisions sur des contrats en unités de compte</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6. c. Autres provisions techniques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7. Participation aux résultats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8. Frais d'acquisition et d'administration :</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8. a. Frais d'acquisition</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8. b. Frais d'administration</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8. c. Commissions reçues des réassureurs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9. Charges des placements :</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9. a. Frais internes et externes de gestion des placements et intérêts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9. b. Autres charges des placements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4"/>
                <w:szCs w:val="22"/>
              </w:rPr>
            </w:pPr>
            <w:r w:rsidRPr="00A83B39">
              <w:rPr>
                <w:rFonts w:ascii="Calibri" w:hAnsi="Calibri"/>
                <w:color w:val="000000"/>
                <w:sz w:val="14"/>
                <w:szCs w:val="22"/>
              </w:rPr>
              <w:t>9. c. Pertes provenant de la réalisation de placements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10. Ajustements ACAV (</w:t>
            </w:r>
            <w:proofErr w:type="spellStart"/>
            <w:r w:rsidRPr="00A83B39">
              <w:rPr>
                <w:rFonts w:ascii="Calibri" w:hAnsi="Calibri"/>
                <w:b/>
                <w:bCs/>
                <w:color w:val="000000"/>
                <w:sz w:val="14"/>
                <w:szCs w:val="22"/>
              </w:rPr>
              <w:t>moins values</w:t>
            </w:r>
            <w:proofErr w:type="spellEnd"/>
            <w:r w:rsidRPr="00A83B39">
              <w:rPr>
                <w:rFonts w:ascii="Calibri" w:hAnsi="Calibri"/>
                <w:b/>
                <w:bCs/>
                <w:color w:val="000000"/>
                <w:sz w:val="14"/>
                <w:szCs w:val="22"/>
              </w:rPr>
              <w:t>)</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11. Autres charges techniques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 w:val="14"/>
                <w:szCs w:val="22"/>
              </w:rPr>
            </w:pPr>
            <w:r w:rsidRPr="00A83B39">
              <w:rPr>
                <w:rFonts w:ascii="Calibri" w:hAnsi="Calibri"/>
                <w:b/>
                <w:bCs/>
                <w:color w:val="000000"/>
                <w:sz w:val="14"/>
                <w:szCs w:val="22"/>
              </w:rPr>
              <w:t>12. Produits des placements transférés</w:t>
            </w:r>
          </w:p>
        </w:tc>
        <w:tc>
          <w:tcPr>
            <w:tcW w:w="2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6"/>
                <w:szCs w:val="22"/>
              </w:rPr>
              <w:t> </w:t>
            </w:r>
          </w:p>
        </w:tc>
      </w:tr>
      <w:tr w:rsidR="00806FB8" w:rsidRPr="00A83B39" w:rsidTr="003F50D4">
        <w:trPr>
          <w:trHeight w:val="300"/>
          <w:jc w:val="center"/>
        </w:trPr>
        <w:tc>
          <w:tcPr>
            <w:tcW w:w="2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r w:rsidRPr="00A83B39">
              <w:rPr>
                <w:rFonts w:ascii="Calibri" w:hAnsi="Calibri"/>
                <w:color w:val="000000"/>
                <w:sz w:val="14"/>
                <w:szCs w:val="22"/>
              </w:rPr>
              <w:t>Résultat technique de l'assurance vie</w:t>
            </w:r>
          </w:p>
        </w:tc>
        <w:tc>
          <w:tcPr>
            <w:tcW w:w="1399"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p>
        </w:tc>
        <w:tc>
          <w:tcPr>
            <w:tcW w:w="185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p>
        </w:tc>
        <w:tc>
          <w:tcPr>
            <w:tcW w:w="1393"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p>
        </w:tc>
        <w:tc>
          <w:tcPr>
            <w:tcW w:w="234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 w:val="16"/>
                <w:szCs w:val="22"/>
              </w:rPr>
            </w:pPr>
          </w:p>
        </w:tc>
      </w:tr>
    </w:tbl>
    <w:p w:rsidR="00806FB8" w:rsidRPr="00A83B39" w:rsidRDefault="00806FB8" w:rsidP="00806FB8">
      <w:pPr>
        <w:autoSpaceDE w:val="0"/>
        <w:autoSpaceDN w:val="0"/>
        <w:adjustRightInd w:val="0"/>
        <w:jc w:val="left"/>
        <w:rPr>
          <w:rFonts w:ascii="Arial" w:hAnsi="Arial" w:cs="Arial"/>
          <w:b/>
          <w:bCs/>
          <w:szCs w:val="22"/>
        </w:rPr>
      </w:pPr>
    </w:p>
    <w:p w:rsidR="00806FB8" w:rsidRPr="00A83B39" w:rsidRDefault="00806FB8" w:rsidP="00806FB8">
      <w:pPr>
        <w:autoSpaceDE w:val="0"/>
        <w:autoSpaceDN w:val="0"/>
        <w:adjustRightInd w:val="0"/>
        <w:jc w:val="left"/>
        <w:rPr>
          <w:rFonts w:ascii="Arial" w:hAnsi="Arial" w:cs="Arial"/>
          <w:b/>
          <w:bCs/>
          <w:szCs w:val="22"/>
        </w:rPr>
      </w:pPr>
    </w:p>
    <w:p w:rsidR="00806FB8" w:rsidRPr="00A83B39" w:rsidRDefault="00806FB8" w:rsidP="00806FB8">
      <w:pPr>
        <w:autoSpaceDE w:val="0"/>
        <w:autoSpaceDN w:val="0"/>
        <w:adjustRightInd w:val="0"/>
        <w:rPr>
          <w:b/>
          <w:bCs/>
          <w:sz w:val="24"/>
          <w:szCs w:val="24"/>
        </w:rPr>
      </w:pPr>
      <w:r w:rsidRPr="00A83B39">
        <w:rPr>
          <w:b/>
          <w:bCs/>
          <w:sz w:val="24"/>
          <w:szCs w:val="24"/>
        </w:rPr>
        <w:t>(1) Primes</w:t>
      </w:r>
    </w:p>
    <w:p w:rsidR="00806FB8" w:rsidRPr="00A83B39" w:rsidRDefault="00806FB8" w:rsidP="00806FB8">
      <w:pPr>
        <w:autoSpaceDE w:val="0"/>
        <w:autoSpaceDN w:val="0"/>
        <w:adjustRightInd w:val="0"/>
        <w:rPr>
          <w:sz w:val="24"/>
          <w:szCs w:val="24"/>
        </w:rPr>
      </w:pPr>
      <w:r w:rsidRPr="00A83B39">
        <w:rPr>
          <w:sz w:val="24"/>
          <w:szCs w:val="24"/>
        </w:rPr>
        <w:t>Les primes sont exprimées brutes de commissions d’acquisition.</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(2) Produits des placements &amp; (9) charges des placements</w:t>
      </w:r>
    </w:p>
    <w:p w:rsidR="00806FB8" w:rsidRPr="00A83B39" w:rsidRDefault="00806FB8" w:rsidP="00806FB8">
      <w:pPr>
        <w:autoSpaceDE w:val="0"/>
        <w:autoSpaceDN w:val="0"/>
        <w:adjustRightInd w:val="0"/>
        <w:rPr>
          <w:sz w:val="24"/>
          <w:szCs w:val="24"/>
        </w:rPr>
      </w:pPr>
      <w:r w:rsidRPr="00A83B39">
        <w:rPr>
          <w:sz w:val="24"/>
          <w:szCs w:val="24"/>
        </w:rPr>
        <w:t>Le résultat financier est égal aux produits des placements déduction faite des charges des placements. Par rapport au résultat financier de l’assurance non vie (« Produits des placements alloués ») le résultat financier vie est beaucoup plus détaillé.</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Les produits des placements sont composés :</w:t>
      </w:r>
    </w:p>
    <w:p w:rsidR="00806FB8" w:rsidRPr="00A83B39" w:rsidRDefault="00806FB8" w:rsidP="00806FB8">
      <w:pPr>
        <w:pStyle w:val="ListParagraph"/>
        <w:numPr>
          <w:ilvl w:val="0"/>
          <w:numId w:val="19"/>
        </w:numPr>
        <w:autoSpaceDE w:val="0"/>
        <w:autoSpaceDN w:val="0"/>
        <w:adjustRightInd w:val="0"/>
        <w:rPr>
          <w:sz w:val="24"/>
          <w:szCs w:val="24"/>
        </w:rPr>
      </w:pPr>
      <w:r w:rsidRPr="00A83B39">
        <w:rPr>
          <w:sz w:val="24"/>
          <w:szCs w:val="24"/>
        </w:rPr>
        <w:t>des revenus de placements : produits financiers récurrents du portefeuille (coupons d’obligations, intérêts de prêts, loyers d’immeubles, dividendes d’actions,…) ;</w:t>
      </w:r>
    </w:p>
    <w:p w:rsidR="00806FB8" w:rsidRPr="00A83B39" w:rsidRDefault="00806FB8" w:rsidP="00806FB8">
      <w:pPr>
        <w:pStyle w:val="ListParagraph"/>
        <w:numPr>
          <w:ilvl w:val="0"/>
          <w:numId w:val="19"/>
        </w:numPr>
        <w:autoSpaceDE w:val="0"/>
        <w:autoSpaceDN w:val="0"/>
        <w:adjustRightInd w:val="0"/>
        <w:rPr>
          <w:sz w:val="24"/>
          <w:szCs w:val="24"/>
        </w:rPr>
      </w:pPr>
      <w:r w:rsidRPr="00A83B39">
        <w:rPr>
          <w:sz w:val="24"/>
          <w:szCs w:val="24"/>
        </w:rPr>
        <w:t>des autres produits des placements : décotes obligataires, reprise sur la provision pour dépréciation des placements ;</w:t>
      </w:r>
    </w:p>
    <w:p w:rsidR="00806FB8" w:rsidRPr="00A83B39" w:rsidRDefault="00806FB8" w:rsidP="00806FB8">
      <w:pPr>
        <w:pStyle w:val="ListParagraph"/>
        <w:numPr>
          <w:ilvl w:val="0"/>
          <w:numId w:val="19"/>
        </w:numPr>
        <w:autoSpaceDE w:val="0"/>
        <w:autoSpaceDN w:val="0"/>
        <w:adjustRightInd w:val="0"/>
        <w:rPr>
          <w:sz w:val="24"/>
          <w:szCs w:val="24"/>
        </w:rPr>
      </w:pPr>
      <w:r w:rsidRPr="00A83B39">
        <w:rPr>
          <w:sz w:val="24"/>
          <w:szCs w:val="24"/>
        </w:rPr>
        <w:t>des profits provenant de la réalisation des placements (réalisation de plus-values) et prélèvements sur la réserve de capitalisation.</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Les charges des placements sont composées :</w:t>
      </w:r>
    </w:p>
    <w:p w:rsidR="00806FB8" w:rsidRPr="00A83B39" w:rsidRDefault="00806FB8" w:rsidP="00806FB8">
      <w:pPr>
        <w:pStyle w:val="ListParagraph"/>
        <w:numPr>
          <w:ilvl w:val="0"/>
          <w:numId w:val="18"/>
        </w:numPr>
        <w:autoSpaceDE w:val="0"/>
        <w:autoSpaceDN w:val="0"/>
        <w:adjustRightInd w:val="0"/>
        <w:rPr>
          <w:sz w:val="24"/>
          <w:szCs w:val="24"/>
        </w:rPr>
      </w:pPr>
      <w:r w:rsidRPr="00A83B39">
        <w:rPr>
          <w:sz w:val="24"/>
          <w:szCs w:val="24"/>
        </w:rPr>
        <w:t>des frais internes et externes de gestion des placements et intérêts ;</w:t>
      </w:r>
    </w:p>
    <w:p w:rsidR="00806FB8" w:rsidRPr="00A83B39" w:rsidRDefault="00806FB8" w:rsidP="00806FB8">
      <w:pPr>
        <w:pStyle w:val="ListParagraph"/>
        <w:numPr>
          <w:ilvl w:val="0"/>
          <w:numId w:val="18"/>
        </w:numPr>
        <w:autoSpaceDE w:val="0"/>
        <w:autoSpaceDN w:val="0"/>
        <w:adjustRightInd w:val="0"/>
        <w:rPr>
          <w:sz w:val="24"/>
          <w:szCs w:val="24"/>
        </w:rPr>
      </w:pPr>
      <w:r w:rsidRPr="00A83B39">
        <w:rPr>
          <w:sz w:val="24"/>
          <w:szCs w:val="24"/>
        </w:rPr>
        <w:lastRenderedPageBreak/>
        <w:t>des autres charges des placements : surcotes obligataires et dotations aux amortissements et provision pour dépréciation des placements ;</w:t>
      </w:r>
    </w:p>
    <w:p w:rsidR="00806FB8" w:rsidRPr="00A83B39" w:rsidRDefault="00806FB8" w:rsidP="00806FB8">
      <w:pPr>
        <w:pStyle w:val="ListParagraph"/>
        <w:numPr>
          <w:ilvl w:val="0"/>
          <w:numId w:val="18"/>
        </w:numPr>
        <w:autoSpaceDE w:val="0"/>
        <w:autoSpaceDN w:val="0"/>
        <w:adjustRightInd w:val="0"/>
        <w:rPr>
          <w:sz w:val="24"/>
          <w:szCs w:val="24"/>
        </w:rPr>
      </w:pPr>
      <w:r w:rsidRPr="00A83B39">
        <w:rPr>
          <w:sz w:val="24"/>
          <w:szCs w:val="24"/>
        </w:rPr>
        <w:t>des pertes provenant de la réalisation des placements (réalisation de moins-values) et dotation à la réserve de capitalisation.</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(3) Ajustement ACAV (plus-values) (10) Ajustements ACAV (moins-values)</w:t>
      </w:r>
    </w:p>
    <w:p w:rsidR="00806FB8" w:rsidRPr="00A83B39" w:rsidRDefault="00806FB8" w:rsidP="00806FB8">
      <w:pPr>
        <w:autoSpaceDE w:val="0"/>
        <w:autoSpaceDN w:val="0"/>
        <w:adjustRightInd w:val="0"/>
        <w:rPr>
          <w:sz w:val="24"/>
          <w:szCs w:val="24"/>
        </w:rPr>
      </w:pPr>
      <w:r w:rsidRPr="00A83B39">
        <w:rPr>
          <w:sz w:val="24"/>
          <w:szCs w:val="24"/>
        </w:rPr>
        <w:t>Les ajustements ACAV (ajustement des contrats à capital variable) traduisent la réévaluation positive (plus-value) ou négative (moins-value) à la date du bilan des placements relatifs aux contrats en UC.</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(4) Autres produits techniques</w:t>
      </w:r>
    </w:p>
    <w:p w:rsidR="00806FB8" w:rsidRPr="00A83B39" w:rsidRDefault="00806FB8" w:rsidP="00806FB8">
      <w:pPr>
        <w:autoSpaceDE w:val="0"/>
        <w:autoSpaceDN w:val="0"/>
        <w:adjustRightInd w:val="0"/>
        <w:rPr>
          <w:sz w:val="24"/>
          <w:szCs w:val="24"/>
        </w:rPr>
      </w:pPr>
      <w:r w:rsidRPr="00A83B39">
        <w:rPr>
          <w:sz w:val="24"/>
          <w:szCs w:val="24"/>
        </w:rPr>
        <w:t>Ils sont composés des produits accessoires (pénalités de rachat par exemple).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(5) Charges des sinistres</w:t>
      </w:r>
    </w:p>
    <w:p w:rsidR="00806FB8" w:rsidRPr="00A83B39" w:rsidRDefault="00806FB8" w:rsidP="00806FB8">
      <w:pPr>
        <w:autoSpaceDE w:val="0"/>
        <w:autoSpaceDN w:val="0"/>
        <w:adjustRightInd w:val="0"/>
        <w:rPr>
          <w:sz w:val="24"/>
          <w:szCs w:val="24"/>
        </w:rPr>
      </w:pPr>
      <w:r w:rsidRPr="00A83B39">
        <w:rPr>
          <w:sz w:val="24"/>
          <w:szCs w:val="24"/>
        </w:rPr>
        <w:t>Les « charges des sinistres » regroupent les prestations suivantes :</w:t>
      </w:r>
    </w:p>
    <w:p w:rsidR="00806FB8" w:rsidRPr="00A83B39" w:rsidRDefault="00806FB8" w:rsidP="00806FB8">
      <w:pPr>
        <w:pStyle w:val="ListParagraph"/>
        <w:numPr>
          <w:ilvl w:val="0"/>
          <w:numId w:val="17"/>
        </w:numPr>
        <w:autoSpaceDE w:val="0"/>
        <w:autoSpaceDN w:val="0"/>
        <w:adjustRightInd w:val="0"/>
        <w:rPr>
          <w:sz w:val="24"/>
          <w:szCs w:val="24"/>
        </w:rPr>
      </w:pPr>
      <w:r w:rsidRPr="00A83B39">
        <w:rPr>
          <w:sz w:val="24"/>
          <w:szCs w:val="24"/>
        </w:rPr>
        <w:t>les sinistres qui correspondent aux capitaux versés en cas de décès de l’assuré. Dans le cas d’un contrat d’épargne la valeur du sinistre correspond à la valeur de rachat au moment du décès éventuellement majorée d’un capital complémentaire ;</w:t>
      </w:r>
    </w:p>
    <w:p w:rsidR="00806FB8" w:rsidRPr="00A83B39" w:rsidRDefault="00806FB8" w:rsidP="00806FB8">
      <w:pPr>
        <w:pStyle w:val="ListParagraph"/>
        <w:numPr>
          <w:ilvl w:val="0"/>
          <w:numId w:val="17"/>
        </w:numPr>
        <w:autoSpaceDE w:val="0"/>
        <w:autoSpaceDN w:val="0"/>
        <w:adjustRightInd w:val="0"/>
        <w:rPr>
          <w:sz w:val="24"/>
          <w:szCs w:val="24"/>
        </w:rPr>
      </w:pPr>
      <w:r w:rsidRPr="00A83B39">
        <w:rPr>
          <w:sz w:val="24"/>
          <w:szCs w:val="24"/>
        </w:rPr>
        <w:t>les échéances qui sont les capitaux versés lorsque le contrat est arrivé à son terme et en cas de vie de l’assuré ;</w:t>
      </w:r>
    </w:p>
    <w:p w:rsidR="00806FB8" w:rsidRPr="00A83B39" w:rsidRDefault="00806FB8" w:rsidP="00806FB8">
      <w:pPr>
        <w:pStyle w:val="ListParagraph"/>
        <w:numPr>
          <w:ilvl w:val="0"/>
          <w:numId w:val="17"/>
        </w:numPr>
        <w:autoSpaceDE w:val="0"/>
        <w:autoSpaceDN w:val="0"/>
        <w:adjustRightInd w:val="0"/>
        <w:rPr>
          <w:sz w:val="24"/>
          <w:szCs w:val="24"/>
        </w:rPr>
      </w:pPr>
      <w:r w:rsidRPr="00A83B39">
        <w:rPr>
          <w:sz w:val="24"/>
          <w:szCs w:val="24"/>
        </w:rPr>
        <w:t>les rachats qui correspondent à une récupération des versements effectués. Ils peuvent être totaux ou partiels ;</w:t>
      </w:r>
    </w:p>
    <w:p w:rsidR="00806FB8" w:rsidRPr="00A83B39" w:rsidRDefault="00806FB8" w:rsidP="00806FB8">
      <w:pPr>
        <w:pStyle w:val="ListParagraph"/>
        <w:numPr>
          <w:ilvl w:val="0"/>
          <w:numId w:val="17"/>
        </w:numPr>
        <w:autoSpaceDE w:val="0"/>
        <w:autoSpaceDN w:val="0"/>
        <w:adjustRightInd w:val="0"/>
        <w:rPr>
          <w:sz w:val="24"/>
          <w:szCs w:val="24"/>
        </w:rPr>
      </w:pPr>
      <w:r w:rsidRPr="00A83B39">
        <w:rPr>
          <w:sz w:val="24"/>
          <w:szCs w:val="24"/>
        </w:rPr>
        <w:t>les arrérages, qui sont des versements périodiques servis à des rentiers ou des retraités.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Au montant de la prestation réglée dans l’exercice est ajouté le montant de la variation pour sinistre à payer. Ce poste prend également en compte les coûts de gestion de ces prestations qu’ils soient internes ou externes.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(6) Charges des autres provisions techniques</w:t>
      </w:r>
    </w:p>
    <w:p w:rsidR="00806FB8" w:rsidRPr="00A83B39" w:rsidRDefault="00806FB8" w:rsidP="00806FB8">
      <w:pPr>
        <w:autoSpaceDE w:val="0"/>
        <w:autoSpaceDN w:val="0"/>
        <w:adjustRightInd w:val="0"/>
        <w:rPr>
          <w:sz w:val="24"/>
          <w:szCs w:val="24"/>
        </w:rPr>
      </w:pPr>
      <w:r w:rsidRPr="00A83B39">
        <w:rPr>
          <w:sz w:val="24"/>
          <w:szCs w:val="24"/>
        </w:rPr>
        <w:t>Ce poste reprend les variations des provisions suivantes :</w:t>
      </w:r>
    </w:p>
    <w:p w:rsidR="00806FB8" w:rsidRPr="00A83B39" w:rsidRDefault="00806FB8" w:rsidP="00806FB8">
      <w:pPr>
        <w:pStyle w:val="ListParagraph"/>
        <w:numPr>
          <w:ilvl w:val="0"/>
          <w:numId w:val="16"/>
        </w:numPr>
        <w:autoSpaceDE w:val="0"/>
        <w:autoSpaceDN w:val="0"/>
        <w:adjustRightInd w:val="0"/>
        <w:rPr>
          <w:sz w:val="24"/>
          <w:szCs w:val="24"/>
        </w:rPr>
      </w:pPr>
      <w:r w:rsidRPr="00A83B39">
        <w:rPr>
          <w:sz w:val="24"/>
          <w:szCs w:val="24"/>
        </w:rPr>
        <w:t>les variations des provisions d’assurance vie c'est-à-dire essentiellement les provisions mathématiques et les provisions de gestion ;</w:t>
      </w:r>
    </w:p>
    <w:p w:rsidR="00806FB8" w:rsidRPr="00A83B39" w:rsidRDefault="00806FB8" w:rsidP="00806FB8">
      <w:pPr>
        <w:pStyle w:val="ListParagraph"/>
        <w:numPr>
          <w:ilvl w:val="0"/>
          <w:numId w:val="16"/>
        </w:numPr>
        <w:autoSpaceDE w:val="0"/>
        <w:autoSpaceDN w:val="0"/>
        <w:adjustRightInd w:val="0"/>
        <w:rPr>
          <w:sz w:val="24"/>
          <w:szCs w:val="24"/>
        </w:rPr>
      </w:pPr>
      <w:r w:rsidRPr="00A83B39">
        <w:rPr>
          <w:sz w:val="24"/>
          <w:szCs w:val="24"/>
        </w:rPr>
        <w:t>les variations des provisions des contrats en unités de compte ;</w:t>
      </w:r>
    </w:p>
    <w:p w:rsidR="00806FB8" w:rsidRPr="00A83B39" w:rsidRDefault="00806FB8" w:rsidP="00806FB8">
      <w:pPr>
        <w:pStyle w:val="ListParagraph"/>
        <w:numPr>
          <w:ilvl w:val="0"/>
          <w:numId w:val="16"/>
        </w:numPr>
        <w:autoSpaceDE w:val="0"/>
        <w:autoSpaceDN w:val="0"/>
        <w:adjustRightInd w:val="0"/>
        <w:rPr>
          <w:sz w:val="24"/>
          <w:szCs w:val="24"/>
        </w:rPr>
      </w:pPr>
      <w:r w:rsidRPr="00A83B39">
        <w:rPr>
          <w:sz w:val="24"/>
          <w:szCs w:val="24"/>
        </w:rPr>
        <w:t>les variations des autres provisions techniques.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Par déduction ce poste reprend donc la variation de toutes les provisions techniques à l’exception des provisions pour sinistres (en charge des sinistres) et la provision pour participation aux bénéfices qui est incluse dans la participation aux résultats.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(7) Participation aux résultats</w:t>
      </w:r>
    </w:p>
    <w:p w:rsidR="00806FB8" w:rsidRPr="00A83B39" w:rsidRDefault="00806FB8" w:rsidP="00806FB8">
      <w:pPr>
        <w:autoSpaceDE w:val="0"/>
        <w:autoSpaceDN w:val="0"/>
        <w:adjustRightInd w:val="0"/>
        <w:rPr>
          <w:b/>
          <w:bCs/>
          <w:sz w:val="24"/>
          <w:szCs w:val="24"/>
        </w:rPr>
      </w:pPr>
      <w:r w:rsidRPr="00A83B39">
        <w:rPr>
          <w:b/>
          <w:bCs/>
          <w:sz w:val="24"/>
          <w:szCs w:val="24"/>
        </w:rPr>
        <w:t xml:space="preserve">La participation aux résultats se compose des intérêts techniques et de la participation aux bénéfices. </w:t>
      </w:r>
      <w:r w:rsidRPr="00A83B39">
        <w:rPr>
          <w:sz w:val="24"/>
          <w:szCs w:val="24"/>
        </w:rPr>
        <w:t>L’intérêt technique représente un intéressement</w:t>
      </w:r>
      <w:r w:rsidRPr="00A83B39">
        <w:rPr>
          <w:b/>
          <w:bCs/>
          <w:sz w:val="24"/>
          <w:szCs w:val="24"/>
        </w:rPr>
        <w:t xml:space="preserve"> </w:t>
      </w:r>
      <w:r w:rsidRPr="00A83B39">
        <w:rPr>
          <w:sz w:val="24"/>
          <w:szCs w:val="24"/>
        </w:rPr>
        <w:t>financier prévu au contrat pour toute la durée de celui-ci.</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Les intérêts techniques :</w:t>
      </w:r>
    </w:p>
    <w:p w:rsidR="00806FB8" w:rsidRPr="00A83B39" w:rsidRDefault="00806FB8" w:rsidP="00806FB8">
      <w:pPr>
        <w:pStyle w:val="ListParagraph"/>
        <w:numPr>
          <w:ilvl w:val="0"/>
          <w:numId w:val="15"/>
        </w:numPr>
        <w:autoSpaceDE w:val="0"/>
        <w:autoSpaceDN w:val="0"/>
        <w:adjustRightInd w:val="0"/>
        <w:rPr>
          <w:sz w:val="24"/>
          <w:szCs w:val="24"/>
        </w:rPr>
      </w:pPr>
      <w:r w:rsidRPr="00A83B39">
        <w:rPr>
          <w:sz w:val="24"/>
          <w:szCs w:val="24"/>
        </w:rPr>
        <w:t>sont garantis par l’assureur ;</w:t>
      </w:r>
    </w:p>
    <w:p w:rsidR="00806FB8" w:rsidRPr="00A83B39" w:rsidRDefault="00806FB8" w:rsidP="00806FB8">
      <w:pPr>
        <w:pStyle w:val="ListParagraph"/>
        <w:numPr>
          <w:ilvl w:val="0"/>
          <w:numId w:val="15"/>
        </w:numPr>
        <w:autoSpaceDE w:val="0"/>
        <w:autoSpaceDN w:val="0"/>
        <w:adjustRightInd w:val="0"/>
        <w:rPr>
          <w:sz w:val="24"/>
          <w:szCs w:val="24"/>
        </w:rPr>
      </w:pPr>
      <w:r w:rsidRPr="00A83B39">
        <w:rPr>
          <w:sz w:val="24"/>
          <w:szCs w:val="24"/>
        </w:rPr>
        <w:t>constituent la revalorisation des provisions, directement liée à l’application d’un taux d’actualisation dans le calcul ;</w:t>
      </w:r>
    </w:p>
    <w:p w:rsidR="00806FB8" w:rsidRPr="00A83B39" w:rsidRDefault="00806FB8" w:rsidP="00806FB8">
      <w:pPr>
        <w:pStyle w:val="ListParagraph"/>
        <w:numPr>
          <w:ilvl w:val="0"/>
          <w:numId w:val="15"/>
        </w:numPr>
        <w:autoSpaceDE w:val="0"/>
        <w:autoSpaceDN w:val="0"/>
        <w:adjustRightInd w:val="0"/>
        <w:rPr>
          <w:sz w:val="24"/>
          <w:szCs w:val="24"/>
        </w:rPr>
      </w:pPr>
      <w:r w:rsidRPr="00A83B39">
        <w:rPr>
          <w:sz w:val="24"/>
          <w:szCs w:val="24"/>
        </w:rPr>
        <w:t>se calculent à partir d’un taux technique.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La participation aux bénéfices relève d’un calcul annuel contractuel, qui permet d’attribuer plus d’intéressement aux assurés en fonction du niveau du résultat financier ou technique. </w:t>
      </w:r>
    </w:p>
    <w:p w:rsidR="00806FB8" w:rsidRPr="00A83B39" w:rsidRDefault="00806FB8" w:rsidP="00806FB8">
      <w:pPr>
        <w:autoSpaceDE w:val="0"/>
        <w:autoSpaceDN w:val="0"/>
        <w:adjustRightInd w:val="0"/>
        <w:rPr>
          <w:sz w:val="24"/>
          <w:szCs w:val="24"/>
        </w:rPr>
      </w:pPr>
      <w:r w:rsidRPr="00A83B39">
        <w:rPr>
          <w:sz w:val="24"/>
          <w:szCs w:val="24"/>
        </w:rPr>
        <w:t>Elle peut être :</w:t>
      </w:r>
    </w:p>
    <w:p w:rsidR="00806FB8" w:rsidRPr="00A83B39" w:rsidRDefault="00806FB8" w:rsidP="00806FB8">
      <w:pPr>
        <w:pStyle w:val="ListParagraph"/>
        <w:numPr>
          <w:ilvl w:val="0"/>
          <w:numId w:val="14"/>
        </w:numPr>
        <w:autoSpaceDE w:val="0"/>
        <w:autoSpaceDN w:val="0"/>
        <w:adjustRightInd w:val="0"/>
        <w:rPr>
          <w:sz w:val="24"/>
          <w:szCs w:val="24"/>
        </w:rPr>
      </w:pPr>
      <w:r w:rsidRPr="00A83B39">
        <w:rPr>
          <w:sz w:val="24"/>
          <w:szCs w:val="24"/>
        </w:rPr>
        <w:t>payée aux assurés, si le contrat le permet ;</w:t>
      </w:r>
    </w:p>
    <w:p w:rsidR="00806FB8" w:rsidRPr="00A83B39" w:rsidRDefault="00806FB8" w:rsidP="00806FB8">
      <w:pPr>
        <w:pStyle w:val="ListParagraph"/>
        <w:numPr>
          <w:ilvl w:val="0"/>
          <w:numId w:val="14"/>
        </w:numPr>
        <w:autoSpaceDE w:val="0"/>
        <w:autoSpaceDN w:val="0"/>
        <w:adjustRightInd w:val="0"/>
        <w:rPr>
          <w:sz w:val="24"/>
          <w:szCs w:val="24"/>
        </w:rPr>
      </w:pPr>
      <w:r w:rsidRPr="00A83B39">
        <w:rPr>
          <w:sz w:val="24"/>
          <w:szCs w:val="24"/>
        </w:rPr>
        <w:t>incorporée aux provisions mathématiques ;</w:t>
      </w:r>
    </w:p>
    <w:p w:rsidR="00806FB8" w:rsidRPr="00A83B39" w:rsidRDefault="00806FB8" w:rsidP="00806FB8">
      <w:pPr>
        <w:pStyle w:val="ListParagraph"/>
        <w:numPr>
          <w:ilvl w:val="0"/>
          <w:numId w:val="14"/>
        </w:numPr>
        <w:autoSpaceDE w:val="0"/>
        <w:autoSpaceDN w:val="0"/>
        <w:adjustRightInd w:val="0"/>
        <w:rPr>
          <w:sz w:val="24"/>
          <w:szCs w:val="24"/>
        </w:rPr>
      </w:pPr>
      <w:r w:rsidRPr="00A83B39">
        <w:rPr>
          <w:sz w:val="24"/>
          <w:szCs w:val="24"/>
        </w:rPr>
        <w:lastRenderedPageBreak/>
        <w:t xml:space="preserve">mise en provision pour participation aux bénéfices. Cette provision doit être reversée aux assurés dans les 8 ans. On parle également de </w:t>
      </w:r>
      <w:r w:rsidRPr="00A83B39">
        <w:rPr>
          <w:b/>
          <w:bCs/>
          <w:sz w:val="24"/>
          <w:szCs w:val="24"/>
        </w:rPr>
        <w:t>participation aux excédents</w:t>
      </w:r>
      <w:r w:rsidRPr="00A83B39">
        <w:rPr>
          <w:sz w:val="24"/>
          <w:szCs w:val="24"/>
        </w:rPr>
        <w:t xml:space="preserve"> (PPE). La participation aux résultats doit globalement respecter un minimum réglementaire (art. A 331-3 à A 331-8) : 90 % du résultat technique (100 % s’il est négatif) + 85 % du résultat financier. Ce calcul est effectué uniquement sur les catégories 1 à 7 c’est dire les contrats de capitalisation, contrats vie individuels et collectifs à l’exclusion des contrats en unités de comptes.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(8) Frais d'acquisition et d'administration (11) Autres charges techniques</w:t>
      </w:r>
    </w:p>
    <w:p w:rsidR="00806FB8" w:rsidRPr="00A83B39" w:rsidRDefault="00806FB8" w:rsidP="00806FB8">
      <w:pPr>
        <w:autoSpaceDE w:val="0"/>
        <w:autoSpaceDN w:val="0"/>
        <w:adjustRightInd w:val="0"/>
        <w:rPr>
          <w:sz w:val="24"/>
          <w:szCs w:val="24"/>
        </w:rPr>
      </w:pPr>
      <w:r w:rsidRPr="00A83B39">
        <w:rPr>
          <w:sz w:val="24"/>
          <w:szCs w:val="24"/>
        </w:rPr>
        <w:t>Tout comme en assurance non vie il s’agit de l’ensemble des frais liés à l’acquisition, à l’administration des contrats et aux autres charges techniques.</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(12) Produits des placements transférés</w:t>
      </w:r>
    </w:p>
    <w:p w:rsidR="00806FB8" w:rsidRPr="00A83B39" w:rsidRDefault="00806FB8" w:rsidP="00806FB8">
      <w:pPr>
        <w:autoSpaceDE w:val="0"/>
        <w:autoSpaceDN w:val="0"/>
        <w:adjustRightInd w:val="0"/>
        <w:rPr>
          <w:sz w:val="24"/>
          <w:szCs w:val="24"/>
        </w:rPr>
      </w:pPr>
      <w:r w:rsidRPr="00A83B39">
        <w:rPr>
          <w:sz w:val="24"/>
          <w:szCs w:val="24"/>
        </w:rPr>
        <w:t>Il s’agit de la quote-part du résultat financier liée aux placements issus des capitaux propres de l’entreprise (apportés par les actionnaires dans le cas d’une SA). Ces produits ne sont pas considérés comme des produits techniques c’est pourquoi ils sont transférés au compte de résultat non technique.</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28" w:name="_Toc351126749"/>
      <w:r w:rsidRPr="00A83B39">
        <w:rPr>
          <w:sz w:val="28"/>
        </w:rPr>
        <w:t>Compte non technique</w:t>
      </w:r>
      <w:bookmarkEnd w:id="28"/>
    </w:p>
    <w:p w:rsidR="00806FB8" w:rsidRPr="00A83B39" w:rsidRDefault="00806FB8" w:rsidP="00806FB8">
      <w:pPr>
        <w:autoSpaceDE w:val="0"/>
        <w:autoSpaceDN w:val="0"/>
        <w:adjustRightInd w:val="0"/>
        <w:rPr>
          <w:sz w:val="24"/>
          <w:szCs w:val="24"/>
        </w:rPr>
      </w:pPr>
      <w:r w:rsidRPr="00A83B39">
        <w:rPr>
          <w:sz w:val="24"/>
          <w:szCs w:val="24"/>
        </w:rPr>
        <w:t>Le compte de résultat non technique reprend le résultat des comptes techniques non vie (1.) et vie (2.) ainsi que les éléments non techniques.</w:t>
      </w:r>
    </w:p>
    <w:p w:rsidR="00806FB8" w:rsidRPr="00A83B39" w:rsidRDefault="00806FB8" w:rsidP="00806FB8">
      <w:pPr>
        <w:autoSpaceDE w:val="0"/>
        <w:autoSpaceDN w:val="0"/>
        <w:adjustRightInd w:val="0"/>
        <w:jc w:val="left"/>
        <w:rPr>
          <w:rFonts w:ascii="ArialMT" w:hAnsi="ArialMT" w:cs="ArialMT"/>
          <w:szCs w:val="22"/>
        </w:rPr>
      </w:pPr>
    </w:p>
    <w:tbl>
      <w:tblPr>
        <w:tblW w:w="10120" w:type="dxa"/>
        <w:jc w:val="center"/>
        <w:tblInd w:w="53" w:type="dxa"/>
        <w:tblCellMar>
          <w:left w:w="70" w:type="dxa"/>
          <w:right w:w="70" w:type="dxa"/>
        </w:tblCellMar>
        <w:tblLook w:val="04A0" w:firstRow="1" w:lastRow="0" w:firstColumn="1" w:lastColumn="0" w:noHBand="0" w:noVBand="1"/>
      </w:tblPr>
      <w:tblGrid>
        <w:gridCol w:w="6520"/>
        <w:gridCol w:w="1200"/>
        <w:gridCol w:w="1200"/>
        <w:gridCol w:w="1200"/>
      </w:tblGrid>
      <w:tr w:rsidR="00806FB8" w:rsidRPr="00A83B39" w:rsidTr="003F50D4">
        <w:trPr>
          <w:trHeight w:val="300"/>
          <w:jc w:val="center"/>
        </w:trPr>
        <w:tc>
          <w:tcPr>
            <w:tcW w:w="6520" w:type="dxa"/>
            <w:tcBorders>
              <w:top w:val="nil"/>
              <w:left w:val="nil"/>
              <w:bottom w:val="nil"/>
              <w:right w:val="nil"/>
            </w:tcBorders>
            <w:shd w:val="clear" w:color="auto" w:fill="auto"/>
            <w:noWrap/>
            <w:vAlign w:val="bottom"/>
            <w:hideMark/>
          </w:tcPr>
          <w:p w:rsidR="00806FB8" w:rsidRPr="00A83B39" w:rsidRDefault="00806FB8" w:rsidP="003F50D4">
            <w:pPr>
              <w:jc w:val="left"/>
              <w:rPr>
                <w:rFonts w:ascii="Calibri" w:hAnsi="Calibri"/>
                <w:color w:val="000000"/>
                <w:szCs w:val="22"/>
              </w:rPr>
            </w:pPr>
          </w:p>
        </w:tc>
        <w:tc>
          <w:tcPr>
            <w:tcW w:w="1200" w:type="dxa"/>
            <w:tcBorders>
              <w:top w:val="nil"/>
              <w:left w:val="nil"/>
              <w:bottom w:val="nil"/>
              <w:right w:val="nil"/>
            </w:tcBorders>
            <w:shd w:val="clear" w:color="auto" w:fill="auto"/>
            <w:noWrap/>
            <w:vAlign w:val="bottom"/>
            <w:hideMark/>
          </w:tcPr>
          <w:p w:rsidR="00806FB8" w:rsidRPr="00A83B39" w:rsidRDefault="00806FB8" w:rsidP="003F50D4">
            <w:pPr>
              <w:jc w:val="left"/>
              <w:rPr>
                <w:rFonts w:ascii="Calibri" w:hAnsi="Calibri"/>
                <w:color w:val="000000"/>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Opérations nettes 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Opérations nettes (N-1)</w:t>
            </w:r>
          </w:p>
        </w:tc>
      </w:tr>
      <w:tr w:rsidR="00806FB8" w:rsidRPr="00A83B39" w:rsidTr="003F50D4">
        <w:trPr>
          <w:trHeight w:val="300"/>
          <w:jc w:val="center"/>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Cs w:val="22"/>
              </w:rPr>
            </w:pPr>
            <w:r w:rsidRPr="00A83B39">
              <w:rPr>
                <w:rFonts w:ascii="Calibri" w:hAnsi="Calibri"/>
                <w:b/>
                <w:bCs/>
                <w:color w:val="000000"/>
                <w:szCs w:val="22"/>
              </w:rPr>
              <w:t>1. Résultat technique de l'assurance non-vie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Cs w:val="22"/>
              </w:rPr>
            </w:pPr>
            <w:r w:rsidRPr="00A83B39">
              <w:rPr>
                <w:rFonts w:ascii="Calibri" w:hAnsi="Calibri"/>
                <w:b/>
                <w:bCs/>
                <w:color w:val="000000"/>
                <w:szCs w:val="22"/>
              </w:rPr>
              <w:t>2. Résultat technique de l'assurance vie</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Cs w:val="22"/>
              </w:rPr>
            </w:pPr>
            <w:r w:rsidRPr="00A83B39">
              <w:rPr>
                <w:rFonts w:ascii="Calibri" w:hAnsi="Calibri"/>
                <w:b/>
                <w:bCs/>
                <w:color w:val="000000"/>
                <w:szCs w:val="22"/>
              </w:rPr>
              <w:t>3. Produits des placements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3. a. Revenus des placements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3. b. Autres produits des placements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3. c. Profits provenant de la réalisation de placements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Cs w:val="22"/>
              </w:rPr>
            </w:pPr>
            <w:r w:rsidRPr="00A83B39">
              <w:rPr>
                <w:rFonts w:ascii="Calibri" w:hAnsi="Calibri"/>
                <w:b/>
                <w:bCs/>
                <w:color w:val="000000"/>
                <w:szCs w:val="22"/>
              </w:rPr>
              <w:t>4. Produits des placements alloués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Cs w:val="22"/>
              </w:rPr>
            </w:pPr>
            <w:r w:rsidRPr="00A83B39">
              <w:rPr>
                <w:rFonts w:ascii="Calibri" w:hAnsi="Calibri"/>
                <w:b/>
                <w:bCs/>
                <w:color w:val="000000"/>
                <w:szCs w:val="22"/>
              </w:rPr>
              <w:t>5. Charges des placements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5. a. Frais internes et externes de gestion des placements et intérêts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5. b. Autres charges des placements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5. c. Pertes provenant de la réalisation de placements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Cs w:val="22"/>
              </w:rPr>
            </w:pPr>
            <w:r w:rsidRPr="00A83B39">
              <w:rPr>
                <w:rFonts w:ascii="Calibri" w:hAnsi="Calibri"/>
                <w:b/>
                <w:bCs/>
                <w:color w:val="000000"/>
                <w:szCs w:val="22"/>
              </w:rPr>
              <w:t>6. Produits des placements transférés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Cs w:val="22"/>
              </w:rPr>
            </w:pPr>
            <w:r w:rsidRPr="00A83B39">
              <w:rPr>
                <w:rFonts w:ascii="Calibri" w:hAnsi="Calibri"/>
                <w:b/>
                <w:bCs/>
                <w:color w:val="000000"/>
                <w:szCs w:val="22"/>
              </w:rPr>
              <w:t>7. Autres produits non techniques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Cs w:val="22"/>
              </w:rPr>
            </w:pPr>
            <w:r w:rsidRPr="00A83B39">
              <w:rPr>
                <w:rFonts w:ascii="Calibri" w:hAnsi="Calibri"/>
                <w:b/>
                <w:bCs/>
                <w:color w:val="000000"/>
                <w:szCs w:val="22"/>
              </w:rPr>
              <w:t>8. Autres charges non techniques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Cs w:val="22"/>
              </w:rPr>
            </w:pPr>
            <w:r w:rsidRPr="00A83B39">
              <w:rPr>
                <w:rFonts w:ascii="Calibri" w:hAnsi="Calibri"/>
                <w:b/>
                <w:bCs/>
                <w:color w:val="000000"/>
                <w:szCs w:val="22"/>
              </w:rPr>
              <w:t>9. Résultat exceptionnel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9. a. Produits exceptionnels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9. b. Charges exceptionnelles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Cs w:val="22"/>
              </w:rPr>
            </w:pPr>
            <w:r w:rsidRPr="00A83B39">
              <w:rPr>
                <w:rFonts w:ascii="Calibri" w:hAnsi="Calibri"/>
                <w:b/>
                <w:bCs/>
                <w:color w:val="000000"/>
                <w:szCs w:val="22"/>
              </w:rPr>
              <w:t>10. Participation des salariés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b/>
                <w:bCs/>
                <w:color w:val="000000"/>
                <w:szCs w:val="22"/>
              </w:rPr>
            </w:pPr>
            <w:r w:rsidRPr="00A83B39">
              <w:rPr>
                <w:rFonts w:ascii="Calibri" w:hAnsi="Calibri"/>
                <w:b/>
                <w:bCs/>
                <w:color w:val="000000"/>
                <w:szCs w:val="22"/>
              </w:rPr>
              <w:t>11. Impôts sur les bénéfices</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r w:rsidR="00806FB8" w:rsidRPr="00A83B39" w:rsidTr="003F50D4">
        <w:trPr>
          <w:trHeight w:val="300"/>
          <w:jc w:val="center"/>
        </w:trPr>
        <w:tc>
          <w:tcPr>
            <w:tcW w:w="7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FB8" w:rsidRPr="00A83B39" w:rsidRDefault="00806FB8" w:rsidP="003F50D4">
            <w:pPr>
              <w:jc w:val="center"/>
              <w:rPr>
                <w:rFonts w:ascii="Calibri" w:hAnsi="Calibri"/>
                <w:color w:val="000000"/>
                <w:szCs w:val="22"/>
              </w:rPr>
            </w:pPr>
            <w:r w:rsidRPr="00A83B39">
              <w:rPr>
                <w:rFonts w:ascii="Calibri" w:hAnsi="Calibri"/>
                <w:color w:val="000000"/>
                <w:szCs w:val="22"/>
              </w:rPr>
              <w:t>Résultat de l'exercice</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06FB8" w:rsidRPr="00A83B39" w:rsidRDefault="00806FB8" w:rsidP="003F50D4">
            <w:pPr>
              <w:jc w:val="left"/>
              <w:rPr>
                <w:rFonts w:ascii="Calibri" w:hAnsi="Calibri"/>
                <w:color w:val="000000"/>
                <w:szCs w:val="22"/>
              </w:rPr>
            </w:pPr>
            <w:r w:rsidRPr="00A83B39">
              <w:rPr>
                <w:rFonts w:ascii="Calibri" w:hAnsi="Calibri"/>
                <w:color w:val="000000"/>
                <w:szCs w:val="22"/>
              </w:rPr>
              <w:t> </w:t>
            </w:r>
          </w:p>
        </w:tc>
      </w:tr>
    </w:tbl>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rPr>
          <w:sz w:val="24"/>
          <w:szCs w:val="24"/>
        </w:rPr>
      </w:pPr>
      <w:r w:rsidRPr="00A83B39">
        <w:rPr>
          <w:sz w:val="24"/>
          <w:szCs w:val="24"/>
        </w:rPr>
        <w:t>Les éléments considérés comme non techniques sont les suivants :</w:t>
      </w:r>
    </w:p>
    <w:p w:rsidR="00806FB8" w:rsidRPr="00A83B39" w:rsidRDefault="00806FB8" w:rsidP="00806FB8">
      <w:pPr>
        <w:autoSpaceDE w:val="0"/>
        <w:autoSpaceDN w:val="0"/>
        <w:adjustRightInd w:val="0"/>
        <w:rPr>
          <w:sz w:val="24"/>
          <w:szCs w:val="24"/>
        </w:rPr>
      </w:pPr>
    </w:p>
    <w:p w:rsidR="00806FB8" w:rsidRPr="00A83B39" w:rsidRDefault="00806FB8" w:rsidP="00806FB8">
      <w:pPr>
        <w:pStyle w:val="ListParagraph"/>
        <w:numPr>
          <w:ilvl w:val="0"/>
          <w:numId w:val="13"/>
        </w:numPr>
        <w:autoSpaceDE w:val="0"/>
        <w:autoSpaceDN w:val="0"/>
        <w:adjustRightInd w:val="0"/>
        <w:rPr>
          <w:sz w:val="24"/>
          <w:szCs w:val="24"/>
        </w:rPr>
      </w:pPr>
      <w:r w:rsidRPr="00A83B39">
        <w:rPr>
          <w:sz w:val="24"/>
          <w:szCs w:val="24"/>
        </w:rPr>
        <w:t>Le résultat de la quote-part des placements non liés à l’activité d’assurance c'est-à-dire issus des capitaux propres.</w:t>
      </w:r>
    </w:p>
    <w:p w:rsidR="00806FB8" w:rsidRPr="00A83B39" w:rsidRDefault="00806FB8" w:rsidP="00806FB8">
      <w:pPr>
        <w:pStyle w:val="ListParagraph"/>
        <w:numPr>
          <w:ilvl w:val="0"/>
          <w:numId w:val="13"/>
        </w:numPr>
        <w:autoSpaceDE w:val="0"/>
        <w:autoSpaceDN w:val="0"/>
        <w:adjustRightInd w:val="0"/>
        <w:rPr>
          <w:sz w:val="24"/>
          <w:szCs w:val="24"/>
        </w:rPr>
      </w:pPr>
      <w:r w:rsidRPr="00A83B39">
        <w:rPr>
          <w:sz w:val="24"/>
          <w:szCs w:val="24"/>
        </w:rPr>
        <w:t>Les produits et charges exceptionnels (9.) se composent d’éléments de résultat sans lien avec l’activité et ayant un caractère non récurent.</w:t>
      </w:r>
    </w:p>
    <w:p w:rsidR="00806FB8" w:rsidRPr="00A83B39" w:rsidRDefault="00806FB8" w:rsidP="00806FB8">
      <w:pPr>
        <w:pStyle w:val="ListParagraph"/>
        <w:numPr>
          <w:ilvl w:val="0"/>
          <w:numId w:val="13"/>
        </w:numPr>
        <w:autoSpaceDE w:val="0"/>
        <w:autoSpaceDN w:val="0"/>
        <w:adjustRightInd w:val="0"/>
        <w:rPr>
          <w:sz w:val="24"/>
          <w:szCs w:val="24"/>
        </w:rPr>
      </w:pPr>
      <w:r w:rsidRPr="00A83B39">
        <w:rPr>
          <w:sz w:val="24"/>
          <w:szCs w:val="24"/>
        </w:rPr>
        <w:lastRenderedPageBreak/>
        <w:t>La ligne participation des salariés ne reprend que la participation réglementaire, et exclue donc l’intéressement qui doit être considéré comme un élément de frais généraux.</w:t>
      </w:r>
    </w:p>
    <w:p w:rsidR="00806FB8" w:rsidRPr="00A83B39" w:rsidRDefault="00806FB8" w:rsidP="00806FB8">
      <w:pPr>
        <w:pStyle w:val="ListParagraph"/>
        <w:numPr>
          <w:ilvl w:val="0"/>
          <w:numId w:val="13"/>
        </w:numPr>
        <w:autoSpaceDE w:val="0"/>
        <w:autoSpaceDN w:val="0"/>
        <w:adjustRightInd w:val="0"/>
        <w:rPr>
          <w:sz w:val="24"/>
          <w:szCs w:val="24"/>
        </w:rPr>
      </w:pPr>
      <w:r w:rsidRPr="00A83B39">
        <w:rPr>
          <w:sz w:val="24"/>
          <w:szCs w:val="24"/>
        </w:rPr>
        <w:t>En déduisant l’impôt sur les bénéfices (11.) on arrive ainsi au résultat de l’exercice.</w:t>
      </w:r>
    </w:p>
    <w:p w:rsidR="00806FB8" w:rsidRPr="00A83B39" w:rsidRDefault="00806FB8" w:rsidP="00806FB8">
      <w:pPr>
        <w:jc w:val="left"/>
        <w:rPr>
          <w:rFonts w:ascii="ArialMT" w:hAnsi="ArialMT" w:cs="ArialMT"/>
          <w:szCs w:val="22"/>
        </w:rPr>
      </w:pPr>
      <w:r w:rsidRPr="00A83B39">
        <w:rPr>
          <w:rFonts w:ascii="ArialMT" w:hAnsi="ArialMT" w:cs="ArialMT"/>
          <w:szCs w:val="22"/>
        </w:rPr>
        <w:br w:type="page"/>
      </w:r>
    </w:p>
    <w:p w:rsidR="00806FB8" w:rsidRPr="00A83B39" w:rsidRDefault="00806FB8" w:rsidP="00806FB8">
      <w:pPr>
        <w:pStyle w:val="ListParagraph"/>
        <w:numPr>
          <w:ilvl w:val="0"/>
          <w:numId w:val="12"/>
        </w:numPr>
        <w:ind w:left="357" w:hanging="357"/>
        <w:contextualSpacing w:val="0"/>
        <w:outlineLvl w:val="1"/>
        <w:rPr>
          <w:sz w:val="28"/>
        </w:rPr>
      </w:pPr>
      <w:bookmarkStart w:id="29" w:name="_Toc351126750"/>
      <w:r w:rsidRPr="00A83B39">
        <w:rPr>
          <w:sz w:val="28"/>
        </w:rPr>
        <w:lastRenderedPageBreak/>
        <w:t>Ratios et indicateurs clés en assurances</w:t>
      </w:r>
      <w:bookmarkEnd w:id="29"/>
    </w:p>
    <w:p w:rsidR="00806FB8" w:rsidRPr="00A83B39" w:rsidRDefault="00806FB8" w:rsidP="00806FB8">
      <w:pPr>
        <w:pStyle w:val="ListParagraph"/>
        <w:autoSpaceDE w:val="0"/>
        <w:autoSpaceDN w:val="0"/>
        <w:adjustRightInd w:val="0"/>
        <w:jc w:val="left"/>
        <w:rPr>
          <w:sz w:val="28"/>
        </w:rPr>
      </w:pPr>
    </w:p>
    <w:p w:rsidR="00806FB8" w:rsidRPr="00A83B39" w:rsidRDefault="00806FB8" w:rsidP="00806FB8">
      <w:pPr>
        <w:autoSpaceDE w:val="0"/>
        <w:autoSpaceDN w:val="0"/>
        <w:adjustRightInd w:val="0"/>
        <w:rPr>
          <w:sz w:val="24"/>
          <w:szCs w:val="24"/>
        </w:rPr>
      </w:pPr>
      <w:r w:rsidRPr="00A83B39">
        <w:rPr>
          <w:sz w:val="24"/>
          <w:szCs w:val="24"/>
        </w:rPr>
        <w:t>Les ratios représentent des outils importants pour analyser les caractéristiques et la santé propre à chaque société. Ils sont notamment largement utilisés par les analystes financiers externes. Ceux-ci cherchent alors à mesurer la santé et la performance de la société soit pour donner un avis en termes de valorisation boursière ou une évaluation de la capacité de l’assureur à faire face à ses engagements (agence de notation).</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Pour le contrôleur de gestion ils représentent un outil de pilotage particulièrement important. Ils permettent :</w:t>
      </w:r>
    </w:p>
    <w:p w:rsidR="00806FB8" w:rsidRPr="00A83B39" w:rsidRDefault="00806FB8" w:rsidP="00806FB8">
      <w:pPr>
        <w:pStyle w:val="ListParagraph"/>
        <w:numPr>
          <w:ilvl w:val="0"/>
          <w:numId w:val="29"/>
        </w:numPr>
        <w:autoSpaceDE w:val="0"/>
        <w:autoSpaceDN w:val="0"/>
        <w:adjustRightInd w:val="0"/>
        <w:rPr>
          <w:sz w:val="24"/>
          <w:szCs w:val="24"/>
        </w:rPr>
      </w:pPr>
      <w:r w:rsidRPr="00A83B39">
        <w:rPr>
          <w:sz w:val="24"/>
          <w:szCs w:val="24"/>
        </w:rPr>
        <w:t>de fournir des indications sur la structure de l’activité ;</w:t>
      </w:r>
    </w:p>
    <w:p w:rsidR="00806FB8" w:rsidRPr="00A83B39" w:rsidRDefault="00806FB8" w:rsidP="00806FB8">
      <w:pPr>
        <w:pStyle w:val="ListParagraph"/>
        <w:numPr>
          <w:ilvl w:val="0"/>
          <w:numId w:val="29"/>
        </w:numPr>
        <w:autoSpaceDE w:val="0"/>
        <w:autoSpaceDN w:val="0"/>
        <w:adjustRightInd w:val="0"/>
        <w:rPr>
          <w:sz w:val="24"/>
          <w:szCs w:val="24"/>
        </w:rPr>
      </w:pPr>
      <w:r w:rsidRPr="00A83B39">
        <w:rPr>
          <w:sz w:val="24"/>
          <w:szCs w:val="24"/>
        </w:rPr>
        <w:t>d’analyser l’évolution de la société ;</w:t>
      </w:r>
    </w:p>
    <w:p w:rsidR="00806FB8" w:rsidRPr="00A83B39" w:rsidRDefault="00806FB8" w:rsidP="00806FB8">
      <w:pPr>
        <w:pStyle w:val="ListParagraph"/>
        <w:numPr>
          <w:ilvl w:val="0"/>
          <w:numId w:val="29"/>
        </w:numPr>
        <w:autoSpaceDE w:val="0"/>
        <w:autoSpaceDN w:val="0"/>
        <w:adjustRightInd w:val="0"/>
        <w:rPr>
          <w:sz w:val="24"/>
          <w:szCs w:val="24"/>
        </w:rPr>
      </w:pPr>
      <w:r w:rsidRPr="00A83B39">
        <w:rPr>
          <w:sz w:val="24"/>
          <w:szCs w:val="24"/>
        </w:rPr>
        <w:t>de se fixer des objectifs à atteindre dans le cadre de plans à court, moyen ou long terme ;</w:t>
      </w:r>
    </w:p>
    <w:p w:rsidR="00806FB8" w:rsidRPr="00A83B39" w:rsidRDefault="00806FB8" w:rsidP="00806FB8">
      <w:pPr>
        <w:pStyle w:val="ListParagraph"/>
        <w:numPr>
          <w:ilvl w:val="0"/>
          <w:numId w:val="29"/>
        </w:numPr>
        <w:autoSpaceDE w:val="0"/>
        <w:autoSpaceDN w:val="0"/>
        <w:adjustRightInd w:val="0"/>
        <w:rPr>
          <w:sz w:val="24"/>
          <w:szCs w:val="24"/>
        </w:rPr>
      </w:pPr>
      <w:r w:rsidRPr="00A83B39">
        <w:rPr>
          <w:sz w:val="24"/>
          <w:szCs w:val="24"/>
        </w:rPr>
        <w:t>de se comparer à d’autres sociétés, dans la limite des informations disponibles. Pour cela le contrôleur de gestion dispose de différentes sources d’informations. En premier lieu les comptes publiés des sociétés, cependant ceux-ci sont parfois partiels. Le contrôle de gestion peut également exploiter des bases de données comptables (bases FFSA), des données publiées par l’ACP, ou des benchmarks réalisés par des cabinets indépendants.</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1"/>
          <w:numId w:val="12"/>
        </w:numPr>
        <w:ind w:left="788" w:hanging="431"/>
        <w:contextualSpacing w:val="0"/>
        <w:outlineLvl w:val="2"/>
        <w:rPr>
          <w:sz w:val="28"/>
        </w:rPr>
      </w:pPr>
      <w:bookmarkStart w:id="30" w:name="_Toc351126751"/>
      <w:r w:rsidRPr="00A83B39">
        <w:rPr>
          <w:sz w:val="28"/>
        </w:rPr>
        <w:t>Ratios et indicateurs en assurance non vie</w:t>
      </w:r>
      <w:bookmarkEnd w:id="30"/>
    </w:p>
    <w:p w:rsidR="00806FB8" w:rsidRPr="00A83B39" w:rsidRDefault="00806FB8" w:rsidP="00806FB8">
      <w:pPr>
        <w:pStyle w:val="ListParagraph"/>
        <w:autoSpaceDE w:val="0"/>
        <w:autoSpaceDN w:val="0"/>
        <w:adjustRightInd w:val="0"/>
        <w:ind w:left="1224"/>
        <w:jc w:val="left"/>
        <w:rPr>
          <w:sz w:val="28"/>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Les ratios et indicateurs sont spécifiques selon l’activité étudiée.</w:t>
      </w:r>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r w:rsidRPr="00A83B39">
        <w:rPr>
          <w:sz w:val="28"/>
        </w:rPr>
        <w:t xml:space="preserve"> </w:t>
      </w:r>
      <w:bookmarkStart w:id="31" w:name="_Toc351126752"/>
      <w:r w:rsidRPr="00A83B39">
        <w:rPr>
          <w:sz w:val="28"/>
        </w:rPr>
        <w:t>Ratios d’activité</w:t>
      </w:r>
      <w:bookmarkEnd w:id="31"/>
    </w:p>
    <w:p w:rsidR="00806FB8" w:rsidRPr="00A83B39" w:rsidRDefault="00806FB8" w:rsidP="00806FB8">
      <w:pPr>
        <w:pStyle w:val="ListParagraph"/>
        <w:autoSpaceDE w:val="0"/>
        <w:autoSpaceDN w:val="0"/>
        <w:adjustRightInd w:val="0"/>
        <w:ind w:left="1224"/>
        <w:jc w:val="left"/>
        <w:rPr>
          <w:sz w:val="28"/>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Taux de croissance des primes (émises ou acquises)</w:t>
      </w:r>
    </w:p>
    <w:p w:rsidR="00806FB8" w:rsidRPr="00A83B39" w:rsidRDefault="00806FB8" w:rsidP="00806FB8">
      <w:pPr>
        <w:autoSpaceDE w:val="0"/>
        <w:autoSpaceDN w:val="0"/>
        <w:adjustRightInd w:val="0"/>
        <w:rPr>
          <w:b/>
          <w:bCs/>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Primes émises N / Primes émises N-1</w:t>
      </w:r>
    </w:p>
    <w:p w:rsidR="00806FB8" w:rsidRPr="00A83B39" w:rsidRDefault="00806FB8" w:rsidP="00806FB8">
      <w:pPr>
        <w:autoSpaceDE w:val="0"/>
        <w:autoSpaceDN w:val="0"/>
        <w:adjustRightInd w:val="0"/>
        <w:rPr>
          <w:color w:val="000081"/>
          <w:sz w:val="24"/>
          <w:szCs w:val="24"/>
        </w:rPr>
      </w:pPr>
      <w:r w:rsidRPr="00A83B39">
        <w:rPr>
          <w:color w:val="000081"/>
          <w:sz w:val="24"/>
          <w:szCs w:val="24"/>
        </w:rPr>
        <w:t>Primes acquises N / Primes acquises N-1</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de base, reflète la croissance du chiffre d’affaires de la société. Le calcul sur la base des primes émises reflète la croissance du quittancement alors que le ratio sur les primes acquises traduit la croissance du chiffre d’affaires comptable. Dans la pratique ces ratios peuvent être très proches lorsque le taux de report des primes sur l’exercice suivant est faible. C’est le cas notamment des sociétés dont l’échéance des contrats est le 31 décembre.</w:t>
      </w: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peut être calculé de façon globale mais aussi par catégories ministérielles en exploitant les résultats de l’état C1. Il est également particulièrement intéressant en fonction des caractéristiques de la société de pouvoir le calculer par type de réseau, par type de marché (particuliers, professionnels), ou par zones géographiques. Cette analyse ne peut être alors menée que sur la base d’une comptabilité analytique donc de façon interne à la société.</w:t>
      </w:r>
    </w:p>
    <w:p w:rsidR="00806FB8" w:rsidRPr="00A83B39" w:rsidRDefault="00806FB8" w:rsidP="00806FB8">
      <w:pPr>
        <w:autoSpaceDE w:val="0"/>
        <w:autoSpaceDN w:val="0"/>
        <w:adjustRightInd w:val="0"/>
        <w:rPr>
          <w:b/>
          <w:bCs/>
          <w:color w:val="000000"/>
          <w:sz w:val="24"/>
          <w:szCs w:val="24"/>
        </w:rPr>
      </w:pPr>
      <w:r w:rsidRPr="00A83B39">
        <w:rPr>
          <w:b/>
          <w:bCs/>
          <w:color w:val="000000"/>
          <w:sz w:val="24"/>
          <w:szCs w:val="24"/>
        </w:rPr>
        <w:t>Ce ratio permet de constater la croissance ou la baisse du chiffre d’affaires mais ne permet pas de comprendre son évolution</w:t>
      </w:r>
      <w:r w:rsidRPr="00A83B39">
        <w:rPr>
          <w:color w:val="000000"/>
          <w:sz w:val="24"/>
          <w:szCs w:val="24"/>
        </w:rPr>
        <w:t>. En effet l’évolution de la production</w:t>
      </w:r>
      <w:r w:rsidRPr="00A83B39">
        <w:rPr>
          <w:b/>
          <w:bCs/>
          <w:color w:val="000000"/>
          <w:sz w:val="24"/>
          <w:szCs w:val="24"/>
        </w:rPr>
        <w:t xml:space="preserve"> </w:t>
      </w:r>
      <w:r w:rsidRPr="00A83B39">
        <w:rPr>
          <w:color w:val="000000"/>
          <w:sz w:val="24"/>
          <w:szCs w:val="24"/>
        </w:rPr>
        <w:t>est liée à la variation des tarifs et à la variation du nombre de contrat. Des indicateurs</w:t>
      </w:r>
      <w:r w:rsidRPr="00A83B39">
        <w:rPr>
          <w:b/>
          <w:bCs/>
          <w:color w:val="000000"/>
          <w:sz w:val="24"/>
          <w:szCs w:val="24"/>
        </w:rPr>
        <w:t xml:space="preserve"> </w:t>
      </w:r>
      <w:r w:rsidRPr="00A83B39">
        <w:rPr>
          <w:color w:val="000000"/>
          <w:sz w:val="24"/>
          <w:szCs w:val="24"/>
        </w:rPr>
        <w:t>complémentaires sont donc nécessaires pour pouvoir mieux appréhender les</w:t>
      </w:r>
      <w:r w:rsidRPr="00A83B39">
        <w:rPr>
          <w:b/>
          <w:bCs/>
          <w:color w:val="000000"/>
          <w:sz w:val="24"/>
          <w:szCs w:val="24"/>
        </w:rPr>
        <w:t xml:space="preserve"> </w:t>
      </w:r>
      <w:r w:rsidRPr="00A83B39">
        <w:rPr>
          <w:color w:val="000000"/>
          <w:sz w:val="24"/>
          <w:szCs w:val="24"/>
        </w:rPr>
        <w:t>variations de primes.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peut être calculé brut de réassurance et net de réassurance. On a alors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81"/>
          <w:sz w:val="24"/>
          <w:szCs w:val="24"/>
        </w:rPr>
        <w:t xml:space="preserve">Primes émises brutes N / Primes émises brutes N-1 </w:t>
      </w:r>
      <w:r w:rsidRPr="00A83B39">
        <w:rPr>
          <w:color w:val="000000"/>
          <w:sz w:val="24"/>
          <w:szCs w:val="24"/>
        </w:rPr>
        <w:t>ou</w:t>
      </w:r>
    </w:p>
    <w:p w:rsidR="00806FB8" w:rsidRPr="00A83B39" w:rsidRDefault="00806FB8" w:rsidP="00806FB8">
      <w:pPr>
        <w:autoSpaceDE w:val="0"/>
        <w:autoSpaceDN w:val="0"/>
        <w:adjustRightInd w:val="0"/>
        <w:rPr>
          <w:color w:val="000081"/>
          <w:sz w:val="24"/>
          <w:szCs w:val="24"/>
        </w:rPr>
      </w:pPr>
      <w:r w:rsidRPr="00A83B39">
        <w:rPr>
          <w:color w:val="000081"/>
          <w:sz w:val="24"/>
          <w:szCs w:val="24"/>
        </w:rPr>
        <w:t>Primes émises nettes N / Primes émises nettes N-1</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La comparaison entre ces ratios permet de mesurer l’impact de la politique de réassurance et en particulier comment la croissance a été plus ou moins cédée au réassureur.</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Taux de rétention des primes</w:t>
      </w:r>
    </w:p>
    <w:p w:rsidR="00806FB8" w:rsidRPr="00A83B39" w:rsidRDefault="00806FB8" w:rsidP="00806FB8">
      <w:pPr>
        <w:pStyle w:val="ListParagraph"/>
        <w:autoSpaceDE w:val="0"/>
        <w:autoSpaceDN w:val="0"/>
        <w:adjustRightInd w:val="0"/>
        <w:ind w:left="1440"/>
        <w:rPr>
          <w:b/>
          <w:bCs/>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Primes émises nettes N / Primes émises brutes N</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traduit la politique de réassurance de la société. Un taux de 100% signifie que la société conserve l’ensemble du risque et ne recourt pas à la réassurance.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Taux de croissance des affaires nouvelles</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Nb affaires nouvelles N / Nb affaires nouvelles N-1</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peut également être calculé en montant. Il s’agit d’un ratio interne à la société puisqu’il ne peut pas être calculé sur la base de documents publiés. Il traduit le dynamisme des réseaux de distribution et permet de mesurer l’impact des opérations commerciales. Il est cependant important d’être vigilant lors de l’analyse de ce ratio notamment s’il est calculé sur l’ensemble de la société puisqu’il peut mélanger des contrats de natures très différentes. Une analyse par branche ou par type de produits est souvent nécessaire.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Taux de résiliation</w:t>
      </w:r>
    </w:p>
    <w:p w:rsidR="00806FB8" w:rsidRPr="00A83B39" w:rsidRDefault="00806FB8" w:rsidP="00806FB8">
      <w:pPr>
        <w:pStyle w:val="ListParagraph"/>
        <w:autoSpaceDE w:val="0"/>
        <w:autoSpaceDN w:val="0"/>
        <w:adjustRightInd w:val="0"/>
        <w:ind w:left="1440"/>
        <w:rPr>
          <w:b/>
          <w:bCs/>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Nb de résiliations N / portefeuille 1/1/N</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Il s’agit d’un indicateur très utilisé qui ne peut être calculé que sur </w:t>
      </w:r>
      <w:proofErr w:type="gramStart"/>
      <w:r w:rsidRPr="00A83B39">
        <w:rPr>
          <w:color w:val="000000"/>
          <w:sz w:val="24"/>
          <w:szCs w:val="24"/>
        </w:rPr>
        <w:t>la base de données internes</w:t>
      </w:r>
      <w:proofErr w:type="gramEnd"/>
      <w:r w:rsidRPr="00A83B39">
        <w:rPr>
          <w:color w:val="000000"/>
          <w:sz w:val="24"/>
          <w:szCs w:val="24"/>
        </w:rPr>
        <w:t xml:space="preserve"> à l’entreprise.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Taux de croissance du portefeuille</w:t>
      </w:r>
    </w:p>
    <w:p w:rsidR="00806FB8" w:rsidRPr="00A83B39" w:rsidRDefault="00806FB8" w:rsidP="00806FB8">
      <w:pPr>
        <w:pStyle w:val="ListParagraph"/>
        <w:autoSpaceDE w:val="0"/>
        <w:autoSpaceDN w:val="0"/>
        <w:adjustRightInd w:val="0"/>
        <w:ind w:left="1440"/>
        <w:rPr>
          <w:b/>
          <w:bCs/>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Nb contrats en portefeuille 31/12/N / Nb contrats en portefeuille 31/12/N-1</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mesure la croissance du portefeuille en nombre de contrats. Il s’explique d’une part par le nombre d’affaires nouvelles souscrites et d’autre part par le nombre de résiliations enregistrées.</w:t>
      </w:r>
    </w:p>
    <w:p w:rsidR="00806FB8" w:rsidRPr="00A83B39" w:rsidRDefault="00806FB8" w:rsidP="00806FB8">
      <w:pPr>
        <w:autoSpaceDE w:val="0"/>
        <w:autoSpaceDN w:val="0"/>
        <w:adjustRightInd w:val="0"/>
        <w:jc w:val="left"/>
        <w:rPr>
          <w:rFonts w:ascii="Arial" w:hAnsi="Arial" w:cs="Arial"/>
          <w:b/>
          <w:bCs/>
          <w:color w:val="000000"/>
          <w:szCs w:val="22"/>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32" w:name="_Toc351126753"/>
      <w:r w:rsidRPr="00A83B39">
        <w:rPr>
          <w:sz w:val="28"/>
        </w:rPr>
        <w:t>Ratios techniques et financiers</w:t>
      </w:r>
      <w:bookmarkEnd w:id="32"/>
    </w:p>
    <w:p w:rsidR="00806FB8" w:rsidRPr="00A83B39" w:rsidRDefault="00806FB8" w:rsidP="00806FB8">
      <w:pPr>
        <w:pStyle w:val="ListParagraph"/>
        <w:autoSpaceDE w:val="0"/>
        <w:autoSpaceDN w:val="0"/>
        <w:adjustRightInd w:val="0"/>
        <w:ind w:left="1224"/>
        <w:jc w:val="left"/>
        <w:rPr>
          <w:sz w:val="28"/>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Ratio de sinistralité (S/P)</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Charges des sinistres brutes N / Primes acquises N</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très utilisé en assurance non vie reflète la charge de sinistre rapportée aux primes. Ce ratio est également calculé après prise en compte de la réassurance. On a alors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Charges des sinistres nettes N / Primes acquises nettes N</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La charge des sinistres regroupe le montant des sinistres payés, plus le montant des frais de gestion afférents au règlement de ces sinistres ainsi que la variation des provisions pour sinistres à payer. On peut donc le décomposer de la manière suivante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 xml:space="preserve">(Sinistres payés N + var. </w:t>
      </w:r>
      <w:proofErr w:type="spellStart"/>
      <w:r w:rsidRPr="00A83B39">
        <w:rPr>
          <w:color w:val="000081"/>
          <w:sz w:val="24"/>
          <w:szCs w:val="24"/>
        </w:rPr>
        <w:t>prov</w:t>
      </w:r>
      <w:proofErr w:type="spellEnd"/>
      <w:r w:rsidRPr="00A83B39">
        <w:rPr>
          <w:color w:val="000081"/>
          <w:sz w:val="24"/>
          <w:szCs w:val="24"/>
        </w:rPr>
        <w:t>. sinistres) / Primes acquises N</w:t>
      </w:r>
    </w:p>
    <w:p w:rsidR="00806FB8" w:rsidRPr="00A83B39" w:rsidRDefault="00806FB8" w:rsidP="00806FB8">
      <w:pPr>
        <w:autoSpaceDE w:val="0"/>
        <w:autoSpaceDN w:val="0"/>
        <w:adjustRightInd w:val="0"/>
        <w:rPr>
          <w:color w:val="000000"/>
          <w:sz w:val="24"/>
          <w:szCs w:val="24"/>
        </w:rPr>
      </w:pPr>
      <w:r w:rsidRPr="00A83B39">
        <w:rPr>
          <w:color w:val="000000"/>
          <w:sz w:val="24"/>
          <w:szCs w:val="24"/>
        </w:rPr>
        <w:t>+</w:t>
      </w:r>
    </w:p>
    <w:p w:rsidR="00806FB8" w:rsidRPr="00A83B39" w:rsidRDefault="00806FB8" w:rsidP="00806FB8">
      <w:pPr>
        <w:autoSpaceDE w:val="0"/>
        <w:autoSpaceDN w:val="0"/>
        <w:adjustRightInd w:val="0"/>
        <w:rPr>
          <w:color w:val="000081"/>
          <w:sz w:val="24"/>
          <w:szCs w:val="24"/>
        </w:rPr>
      </w:pPr>
      <w:r w:rsidRPr="00A83B39">
        <w:rPr>
          <w:color w:val="000081"/>
          <w:sz w:val="24"/>
          <w:szCs w:val="24"/>
        </w:rPr>
        <w:t>(Coût de gestion des sinistres) / Primes acquises N</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Cette décomposition permet de mesurer le poids respectif des deux composantes (charges pures et frais de gestion) dans le ratio de sinistralité.</w:t>
      </w:r>
    </w:p>
    <w:p w:rsidR="00806FB8" w:rsidRPr="00A83B39" w:rsidRDefault="00806FB8" w:rsidP="00806FB8">
      <w:pPr>
        <w:autoSpaceDE w:val="0"/>
        <w:autoSpaceDN w:val="0"/>
        <w:adjustRightInd w:val="0"/>
        <w:rPr>
          <w:b/>
          <w:bCs/>
          <w:color w:val="000000"/>
          <w:sz w:val="24"/>
          <w:szCs w:val="24"/>
        </w:rPr>
      </w:pPr>
    </w:p>
    <w:p w:rsidR="00806FB8" w:rsidRPr="00A83B39" w:rsidRDefault="00806FB8" w:rsidP="00806FB8">
      <w:pPr>
        <w:autoSpaceDE w:val="0"/>
        <w:autoSpaceDN w:val="0"/>
        <w:adjustRightInd w:val="0"/>
        <w:rPr>
          <w:b/>
          <w:bCs/>
          <w:color w:val="000000"/>
          <w:sz w:val="24"/>
          <w:szCs w:val="24"/>
        </w:rPr>
      </w:pPr>
      <w:r w:rsidRPr="00A83B39">
        <w:rPr>
          <w:b/>
          <w:bCs/>
          <w:color w:val="000000"/>
          <w:sz w:val="24"/>
          <w:szCs w:val="24"/>
        </w:rPr>
        <w:lastRenderedPageBreak/>
        <w:t>La limite de l’appréciation de ce ratio réside dans le fait que la charge de sinistres intègre les gains (bonis) et pertes (malis) dégagés lors du règlement des sinistres antérieurs à l’exercice étudié.</w:t>
      </w:r>
    </w:p>
    <w:p w:rsidR="00806FB8" w:rsidRPr="00A83B39" w:rsidRDefault="00806FB8" w:rsidP="00806FB8">
      <w:pPr>
        <w:autoSpaceDE w:val="0"/>
        <w:autoSpaceDN w:val="0"/>
        <w:adjustRightInd w:val="0"/>
        <w:rPr>
          <w:b/>
          <w:bCs/>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Si le règlement de ces sinistres anciens est supérieur au montant des provisions constituées la société est globalement en situation de mali (sous provisionnement). Au contraire si le règlement de ces sinistres anciens est inférieur au montant des provisions constituées la société est globalement en situation de boni. L’existence de bonis est révélatrice d’une politique de provisionnement plus ou moins prudente adoptée par la société. La compagnie doit présenter des informations relatives à la liquidation des sinistres dans le cadre des états C10 et C12. Des informations simplifiées doivent en outre être publiées dans l’annexe aux comptes dans le tableau « Évolution au cours des trois derniers exercices des règlements de sinistres et de la provision pour sinistres à payer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D’autres ratios et indicateurs sont également calculés de façon interne pour suivre et analyser la charge de sinistres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b/>
          <w:bCs/>
          <w:color w:val="000000"/>
          <w:sz w:val="24"/>
          <w:szCs w:val="24"/>
        </w:rPr>
        <w:t xml:space="preserve">Coût moyen= </w:t>
      </w:r>
      <w:r w:rsidRPr="00A83B39">
        <w:rPr>
          <w:color w:val="000081"/>
          <w:sz w:val="24"/>
          <w:szCs w:val="24"/>
        </w:rPr>
        <w:t xml:space="preserve">(sinistres payés N + var. </w:t>
      </w:r>
      <w:proofErr w:type="spellStart"/>
      <w:r w:rsidRPr="00A83B39">
        <w:rPr>
          <w:color w:val="000081"/>
          <w:sz w:val="24"/>
          <w:szCs w:val="24"/>
        </w:rPr>
        <w:t>prov</w:t>
      </w:r>
      <w:proofErr w:type="spellEnd"/>
      <w:r w:rsidRPr="00A83B39">
        <w:rPr>
          <w:color w:val="000081"/>
          <w:sz w:val="24"/>
          <w:szCs w:val="24"/>
        </w:rPr>
        <w:t>. sinistres) / nombre de sinistres</w:t>
      </w:r>
    </w:p>
    <w:p w:rsidR="00806FB8" w:rsidRPr="00A83B39" w:rsidRDefault="00806FB8" w:rsidP="00806FB8">
      <w:pPr>
        <w:autoSpaceDE w:val="0"/>
        <w:autoSpaceDN w:val="0"/>
        <w:adjustRightInd w:val="0"/>
        <w:rPr>
          <w:color w:val="000000"/>
          <w:sz w:val="24"/>
          <w:szCs w:val="24"/>
        </w:rPr>
      </w:pPr>
      <w:r w:rsidRPr="00A83B39">
        <w:rPr>
          <w:color w:val="000000"/>
          <w:sz w:val="24"/>
          <w:szCs w:val="24"/>
        </w:rPr>
        <w:t>Le coût moyen des sinistres peut être calculé par année de survenance des sinistres.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b/>
          <w:bCs/>
          <w:color w:val="000000"/>
          <w:sz w:val="24"/>
          <w:szCs w:val="24"/>
        </w:rPr>
        <w:t xml:space="preserve">Fréquence des sinistres = </w:t>
      </w:r>
      <w:r w:rsidRPr="00A83B39">
        <w:rPr>
          <w:color w:val="000081"/>
          <w:sz w:val="24"/>
          <w:szCs w:val="24"/>
        </w:rPr>
        <w:t>nombre de sinistres / nombre de contrats</w:t>
      </w:r>
    </w:p>
    <w:p w:rsidR="00806FB8" w:rsidRPr="00A83B39" w:rsidRDefault="00806FB8" w:rsidP="00806FB8">
      <w:pPr>
        <w:autoSpaceDE w:val="0"/>
        <w:autoSpaceDN w:val="0"/>
        <w:adjustRightInd w:val="0"/>
        <w:rPr>
          <w:color w:val="000000"/>
          <w:sz w:val="24"/>
          <w:szCs w:val="24"/>
        </w:rPr>
      </w:pPr>
      <w:r w:rsidRPr="00A83B39">
        <w:rPr>
          <w:color w:val="000000"/>
          <w:sz w:val="24"/>
          <w:szCs w:val="24"/>
        </w:rPr>
        <w:t>La fréquence est généralement exprimée en pour mille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b/>
          <w:bCs/>
          <w:color w:val="000000"/>
          <w:sz w:val="24"/>
          <w:szCs w:val="24"/>
        </w:rPr>
        <w:t xml:space="preserve">La prime pure = </w:t>
      </w:r>
      <w:r w:rsidRPr="00A83B39">
        <w:rPr>
          <w:color w:val="000081"/>
          <w:sz w:val="24"/>
          <w:szCs w:val="24"/>
        </w:rPr>
        <w:t xml:space="preserve">(sinistres payés N + var. </w:t>
      </w:r>
      <w:proofErr w:type="spellStart"/>
      <w:r w:rsidRPr="00A83B39">
        <w:rPr>
          <w:color w:val="000081"/>
          <w:sz w:val="24"/>
          <w:szCs w:val="24"/>
        </w:rPr>
        <w:t>prov</w:t>
      </w:r>
      <w:proofErr w:type="spellEnd"/>
      <w:r w:rsidRPr="00A83B39">
        <w:rPr>
          <w:color w:val="000081"/>
          <w:sz w:val="24"/>
          <w:szCs w:val="24"/>
        </w:rPr>
        <w:t>. sinistres) / nombre de contrats</w:t>
      </w:r>
    </w:p>
    <w:p w:rsidR="00806FB8" w:rsidRPr="00A83B39" w:rsidRDefault="00806FB8" w:rsidP="00806FB8">
      <w:pPr>
        <w:autoSpaceDE w:val="0"/>
        <w:autoSpaceDN w:val="0"/>
        <w:adjustRightInd w:val="0"/>
        <w:rPr>
          <w:color w:val="000000"/>
          <w:sz w:val="24"/>
          <w:szCs w:val="24"/>
        </w:rPr>
      </w:pPr>
      <w:r w:rsidRPr="00A83B39">
        <w:rPr>
          <w:color w:val="000000"/>
          <w:sz w:val="24"/>
          <w:szCs w:val="24"/>
        </w:rPr>
        <w:t>La prime pure correspond au coût moyen du risque pour un contrat. Il correspond donc au coût moyen multiplié par la fréquence. Ces indicateurs serviront dans le cadre de la tarification.</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i/>
          <w:iCs/>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Ratios de frais</w:t>
      </w:r>
    </w:p>
    <w:p w:rsidR="00806FB8" w:rsidRPr="00A83B39" w:rsidRDefault="00806FB8" w:rsidP="00806FB8">
      <w:pPr>
        <w:autoSpaceDE w:val="0"/>
        <w:autoSpaceDN w:val="0"/>
        <w:adjustRightInd w:val="0"/>
        <w:rPr>
          <w:color w:val="000000"/>
          <w:sz w:val="24"/>
          <w:szCs w:val="24"/>
        </w:rPr>
      </w:pPr>
      <w:r w:rsidRPr="00A83B39">
        <w:rPr>
          <w:color w:val="000000"/>
          <w:sz w:val="24"/>
          <w:szCs w:val="24"/>
        </w:rPr>
        <w:t>Les frais de gestion sont composés des frais d’acquisition, des frais d'administration, des autres charges techniques et des frais de gestion des sinistres.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Plusieurs ratios de frais peuvent donc être calculés. Le calcul habituellement retenu est sur la base des primes émises. Au niveau du compte de résultat les frais de gestion des sinistres sont inclus dans les charges des sinistres.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b/>
          <w:bCs/>
          <w:color w:val="000000"/>
          <w:sz w:val="24"/>
          <w:szCs w:val="24"/>
        </w:rPr>
      </w:pPr>
      <w:r w:rsidRPr="00A83B39">
        <w:rPr>
          <w:color w:val="000000"/>
          <w:sz w:val="24"/>
          <w:szCs w:val="24"/>
        </w:rPr>
        <w:t xml:space="preserve">Le </w:t>
      </w:r>
      <w:r w:rsidRPr="00A83B39">
        <w:rPr>
          <w:b/>
          <w:bCs/>
          <w:color w:val="000000"/>
          <w:sz w:val="24"/>
          <w:szCs w:val="24"/>
        </w:rPr>
        <w:t xml:space="preserve">ratio de frais de gestion </w:t>
      </w:r>
      <w:r w:rsidRPr="00A83B39">
        <w:rPr>
          <w:color w:val="000000"/>
          <w:sz w:val="24"/>
          <w:szCs w:val="24"/>
        </w:rPr>
        <w:t xml:space="preserve">est le suivant </w:t>
      </w:r>
      <w:r w:rsidRPr="00A83B39">
        <w:rPr>
          <w:b/>
          <w:bCs/>
          <w:color w:val="000000"/>
          <w:sz w:val="24"/>
          <w:szCs w:val="24"/>
        </w:rPr>
        <w:t>:</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Frais de gestion (hors frais de gestion des sinistres) / primes émises</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peut être décomposé entre un ratio sur frais d’acquisition et un ratio sur frais d’administration.</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Ratio de frais d’acquisition</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Frais acquisition N / primes émises N</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reflète le coût d’acquisition des primes, essentiellement lié au coût du réseau de distribution soit au travers de commissions (agents généraux, courtiers) ou de frais généraux (réseaux salariés).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Ratio de frais d’administration</w:t>
      </w:r>
    </w:p>
    <w:p w:rsidR="00806FB8" w:rsidRPr="00A83B39" w:rsidRDefault="00806FB8" w:rsidP="00806FB8">
      <w:pPr>
        <w:pStyle w:val="ListParagraph"/>
        <w:autoSpaceDE w:val="0"/>
        <w:autoSpaceDN w:val="0"/>
        <w:adjustRightInd w:val="0"/>
        <w:ind w:left="1440"/>
        <w:rPr>
          <w:b/>
          <w:bCs/>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(Frais administration N + autres charges techniques N) / Primes émises N</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lastRenderedPageBreak/>
        <w:t>Ce ratio mesure le poids relatif des frais non directement liés à l’acquisition des contrats et à la gestion des sinistres.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Ratio de frais de gestion des sinistres</w:t>
      </w:r>
    </w:p>
    <w:p w:rsidR="00806FB8" w:rsidRPr="00A83B39" w:rsidRDefault="00806FB8" w:rsidP="00806FB8">
      <w:pPr>
        <w:pStyle w:val="ListParagraph"/>
        <w:autoSpaceDE w:val="0"/>
        <w:autoSpaceDN w:val="0"/>
        <w:adjustRightInd w:val="0"/>
        <w:ind w:left="1440"/>
        <w:rPr>
          <w:b/>
          <w:bCs/>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Les frais de gestion des sinistres sont inclus dans la charge des sinistres. En interne on pourra donc ressortir le montant de ces frais et calculer différents ratios :</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Frais de gestion des sinistres N / charges des sinistres N</w:t>
      </w:r>
    </w:p>
    <w:p w:rsidR="00806FB8" w:rsidRPr="00A83B39" w:rsidRDefault="00806FB8" w:rsidP="00806FB8">
      <w:pPr>
        <w:autoSpaceDE w:val="0"/>
        <w:autoSpaceDN w:val="0"/>
        <w:adjustRightInd w:val="0"/>
        <w:rPr>
          <w:color w:val="000081"/>
          <w:sz w:val="24"/>
          <w:szCs w:val="24"/>
        </w:rPr>
      </w:pPr>
      <w:r w:rsidRPr="00A83B39">
        <w:rPr>
          <w:color w:val="000081"/>
          <w:sz w:val="24"/>
          <w:szCs w:val="24"/>
        </w:rPr>
        <w:t xml:space="preserve">Frais de gestion des sinistres N / (Sinistres payé N + var. </w:t>
      </w:r>
      <w:proofErr w:type="spellStart"/>
      <w:r w:rsidRPr="00A83B39">
        <w:rPr>
          <w:color w:val="000081"/>
          <w:sz w:val="24"/>
          <w:szCs w:val="24"/>
        </w:rPr>
        <w:t>prov</w:t>
      </w:r>
      <w:proofErr w:type="spellEnd"/>
      <w:r w:rsidRPr="00A83B39">
        <w:rPr>
          <w:color w:val="000081"/>
          <w:sz w:val="24"/>
          <w:szCs w:val="24"/>
        </w:rPr>
        <w:t>. Sinistres N)</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premier ratio mesure le poids des frais de gestion des sinistres dans la charge des sinistres totale alors que le deuxième ratio mesure le coût de gestion des sinistres par rapport au montant des sinistres. L’évolution de ces ratios devra être interprétée avec prudence dans le cas de bonis ou malis significatifs.</w:t>
      </w:r>
    </w:p>
    <w:p w:rsidR="00806FB8" w:rsidRPr="00A83B39" w:rsidRDefault="00806FB8" w:rsidP="00806FB8">
      <w:pPr>
        <w:autoSpaceDE w:val="0"/>
        <w:autoSpaceDN w:val="0"/>
        <w:adjustRightInd w:val="0"/>
        <w:rPr>
          <w:i/>
          <w:iCs/>
          <w:color w:val="000000"/>
          <w:sz w:val="24"/>
          <w:szCs w:val="24"/>
        </w:rPr>
      </w:pPr>
    </w:p>
    <w:p w:rsidR="00806FB8" w:rsidRPr="00A83B39" w:rsidRDefault="00806FB8" w:rsidP="00806FB8">
      <w:pPr>
        <w:autoSpaceDE w:val="0"/>
        <w:autoSpaceDN w:val="0"/>
        <w:adjustRightInd w:val="0"/>
        <w:rPr>
          <w:i/>
          <w:iCs/>
          <w:color w:val="000000"/>
          <w:sz w:val="24"/>
          <w:szCs w:val="24"/>
        </w:rPr>
      </w:pPr>
      <w:r w:rsidRPr="00A83B39">
        <w:rPr>
          <w:i/>
          <w:iCs/>
          <w:color w:val="000000"/>
          <w:sz w:val="24"/>
          <w:szCs w:val="24"/>
        </w:rPr>
        <w:t>Exemple : le coût total des sinistres s’élève à 100 et se décompose entre 80 de sinistres payés et 20 de coût de gestion des sinistres. Le coût de gestion des sinistres représente donc 20% du montant de la charge des sinistres (20/100) et 25% des montants réglés.</w:t>
      </w:r>
    </w:p>
    <w:p w:rsidR="00806FB8" w:rsidRPr="00A83B39" w:rsidRDefault="00806FB8" w:rsidP="00806FB8">
      <w:pPr>
        <w:autoSpaceDE w:val="0"/>
        <w:autoSpaceDN w:val="0"/>
        <w:adjustRightInd w:val="0"/>
        <w:rPr>
          <w:i/>
          <w:iCs/>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 xml:space="preserve"> Ratio combiné (</w:t>
      </w:r>
      <w:proofErr w:type="spellStart"/>
      <w:r w:rsidRPr="00A83B39">
        <w:rPr>
          <w:b/>
          <w:bCs/>
          <w:color w:val="000000"/>
          <w:sz w:val="24"/>
          <w:szCs w:val="24"/>
        </w:rPr>
        <w:t>combined</w:t>
      </w:r>
      <w:proofErr w:type="spellEnd"/>
      <w:r w:rsidRPr="00A83B39">
        <w:rPr>
          <w:b/>
          <w:bCs/>
          <w:color w:val="000000"/>
          <w:sz w:val="24"/>
          <w:szCs w:val="24"/>
        </w:rPr>
        <w:t xml:space="preserve"> ratio)</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ratio combiné est avec le ratio de sinistralité un élément d’analyse et de communication financière important en non vie. Il combine le ratio de sinistralité et le ratio de frais de gestion.</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Charges des sinistres brutes N / Primes acquises N</w:t>
      </w:r>
    </w:p>
    <w:p w:rsidR="00806FB8" w:rsidRPr="00A83B39" w:rsidRDefault="00806FB8" w:rsidP="00806FB8">
      <w:pPr>
        <w:autoSpaceDE w:val="0"/>
        <w:autoSpaceDN w:val="0"/>
        <w:adjustRightInd w:val="0"/>
        <w:rPr>
          <w:color w:val="000000"/>
          <w:sz w:val="24"/>
          <w:szCs w:val="24"/>
        </w:rPr>
      </w:pPr>
      <w:r w:rsidRPr="00A83B39">
        <w:rPr>
          <w:color w:val="000000"/>
          <w:sz w:val="24"/>
          <w:szCs w:val="24"/>
        </w:rPr>
        <w:t>+</w:t>
      </w:r>
    </w:p>
    <w:p w:rsidR="00806FB8" w:rsidRPr="00A83B39" w:rsidRDefault="00806FB8" w:rsidP="00806FB8">
      <w:pPr>
        <w:autoSpaceDE w:val="0"/>
        <w:autoSpaceDN w:val="0"/>
        <w:adjustRightInd w:val="0"/>
        <w:rPr>
          <w:color w:val="000081"/>
          <w:sz w:val="24"/>
          <w:szCs w:val="24"/>
        </w:rPr>
      </w:pPr>
      <w:r w:rsidRPr="00A83B39">
        <w:rPr>
          <w:color w:val="000081"/>
          <w:sz w:val="24"/>
          <w:szCs w:val="24"/>
        </w:rPr>
        <w:t>Frais de gestion N (hors frais de gestion des sinistres) / primes émises N</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ratio combiné permet d’évaluer la marge existante avant prise en compte du résultat financier. On notera qu’il ne s’agit que d’une approximation puisque l’on additionne des ratios dont les dénominateurs sont légèrement différents.</w:t>
      </w: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Un ratio supérieur à 100% signifie que la marge avant prise en compte du résultat financier est négative ce qui est généralement le cas pour les branches longues où le </w:t>
      </w:r>
      <w:r w:rsidRPr="00A83B39">
        <w:rPr>
          <w:sz w:val="24"/>
          <w:szCs w:val="24"/>
        </w:rPr>
        <w:t xml:space="preserve">montant des produits financiers attendu est proportionnellement plus important du fait </w:t>
      </w:r>
      <w:r w:rsidRPr="00A83B39">
        <w:rPr>
          <w:color w:val="000000"/>
          <w:sz w:val="24"/>
          <w:szCs w:val="24"/>
        </w:rPr>
        <w:t>du décalage qu’il existe entre l’encaissement de la prime et le règlement du sinistre. Ce ratio est donc à comparer au ratio de revenus financier.</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 xml:space="preserve"> Ratio de revenus financier</w:t>
      </w:r>
    </w:p>
    <w:p w:rsidR="00806FB8" w:rsidRPr="00A83B39" w:rsidRDefault="00806FB8" w:rsidP="00806FB8">
      <w:pPr>
        <w:pStyle w:val="ListParagraph"/>
        <w:autoSpaceDE w:val="0"/>
        <w:autoSpaceDN w:val="0"/>
        <w:adjustRightInd w:val="0"/>
        <w:ind w:left="1440"/>
        <w:rPr>
          <w:b/>
          <w:bCs/>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mesure la contribution du résultat financier au résultat technique exprimée en pourcentage des primes émises.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Résultat financier N / Primes émises N (ou primes acquises)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Si le montant des actifs financiers alloué à l’activité correspond à une année de primes alors ce ratio sera égal au rendement de l’actif. Dans le cas des branches longues le total des provisions techniques représente plusieurs années de primes ce qui fait que le résultat financier contribue de façon significative au résultat technique.</w:t>
      </w:r>
    </w:p>
    <w:p w:rsidR="00806FB8" w:rsidRPr="00A83B39" w:rsidRDefault="00806FB8" w:rsidP="00806FB8">
      <w:pPr>
        <w:autoSpaceDE w:val="0"/>
        <w:autoSpaceDN w:val="0"/>
        <w:adjustRightInd w:val="0"/>
        <w:rPr>
          <w:i/>
          <w:iCs/>
          <w:color w:val="000000"/>
          <w:sz w:val="24"/>
          <w:szCs w:val="24"/>
        </w:rPr>
      </w:pPr>
    </w:p>
    <w:p w:rsidR="00806FB8" w:rsidRPr="00A83B39" w:rsidRDefault="00806FB8" w:rsidP="00806FB8">
      <w:pPr>
        <w:autoSpaceDE w:val="0"/>
        <w:autoSpaceDN w:val="0"/>
        <w:adjustRightInd w:val="0"/>
        <w:rPr>
          <w:i/>
          <w:iCs/>
          <w:color w:val="000000"/>
          <w:sz w:val="24"/>
          <w:szCs w:val="24"/>
        </w:rPr>
      </w:pPr>
      <w:r w:rsidRPr="00A83B39">
        <w:rPr>
          <w:i/>
          <w:iCs/>
          <w:color w:val="000000"/>
          <w:sz w:val="24"/>
          <w:szCs w:val="24"/>
        </w:rPr>
        <w:t>Exemple : un assureur possède un total de placement égal à une année de primes, si le rendement de l’actif s’élève à 4% alors l’impact du résultat financier sur le résultat technique exprimé en % des primes sera de 4%. Si le total des placements représente 2 ans de primes l’impact est de 8%.</w:t>
      </w:r>
    </w:p>
    <w:p w:rsidR="00806FB8" w:rsidRPr="00A83B39" w:rsidRDefault="00806FB8" w:rsidP="00806FB8">
      <w:pPr>
        <w:autoSpaceDE w:val="0"/>
        <w:autoSpaceDN w:val="0"/>
        <w:adjustRightInd w:val="0"/>
        <w:rPr>
          <w:i/>
          <w:iCs/>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lastRenderedPageBreak/>
        <w:t>Taux de rendement des actifs</w:t>
      </w:r>
    </w:p>
    <w:p w:rsidR="00806FB8" w:rsidRPr="00A83B39" w:rsidRDefault="00806FB8" w:rsidP="00806FB8">
      <w:pPr>
        <w:pStyle w:val="ListParagraph"/>
        <w:autoSpaceDE w:val="0"/>
        <w:autoSpaceDN w:val="0"/>
        <w:adjustRightInd w:val="0"/>
        <w:ind w:left="1440"/>
        <w:rPr>
          <w:b/>
          <w:bCs/>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taux de rendement des actifs peut être calculé de la façon suivante :</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Résultat financier N / Actifs gérés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permettra de connaitre le rendement financier dégagé pour 100 euros d’actifs gérés. Pour l’activité non vie le résultat financier peut être analysé à partir du compte non technique. Le résultat financier est égal aux produits des placements moins les charges des placements.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montant des actifs gérés correspond à la valeur des placements indiquée dans l’état détaillé des placements de l’annexe aux comptes. On pourra retenir soit la valeur nette comptable, soit la valeur de réalisation. Par simplification on pourra aussi prendre la valeur des placements indiquée au bilan. Le calcul pourra être fait sur la base d’un montant de placements moyen. Pour une analyse plus fine, il est intéressant de scinder d’une part le résultat financier « courant », c'est-à-dire issu des éléments récurrents, du résultat financier lié à la réalisation des plus-values (cf. partie ratio en assurance vie).</w:t>
      </w:r>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33" w:name="_Toc351126754"/>
      <w:r w:rsidRPr="00A83B39">
        <w:rPr>
          <w:sz w:val="28"/>
        </w:rPr>
        <w:t>Ratios sur les résultats</w:t>
      </w:r>
      <w:bookmarkEnd w:id="33"/>
    </w:p>
    <w:p w:rsidR="00806FB8" w:rsidRPr="00A83B39" w:rsidRDefault="00806FB8" w:rsidP="00806FB8">
      <w:pPr>
        <w:pStyle w:val="ListParagraph"/>
        <w:autoSpaceDE w:val="0"/>
        <w:autoSpaceDN w:val="0"/>
        <w:adjustRightInd w:val="0"/>
        <w:ind w:left="1224"/>
        <w:rPr>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 xml:space="preserve"> Ratio de résultat technique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Il est égal à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Résultat technique N / Primes émises N (ou primes acquises)</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Il exprime pour 100 euros de primes émises le résultat technique dégagé par l’entreprise. Ce ratio peut être calculé net de réassurance et brut de réassurance. Il peut également être calculé branche par branche, ce qui permet de comparer la rentabilité des branches entre elles et de voir celles qui contribuent le plus à la construction du résultat technique global.</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 xml:space="preserve"> Ratios liés au résultat de l’exercice</w:t>
      </w:r>
    </w:p>
    <w:p w:rsidR="00806FB8" w:rsidRPr="00A83B39" w:rsidRDefault="00806FB8" w:rsidP="00806FB8">
      <w:pPr>
        <w:pStyle w:val="ListParagraph"/>
        <w:autoSpaceDE w:val="0"/>
        <w:autoSpaceDN w:val="0"/>
        <w:adjustRightInd w:val="0"/>
        <w:ind w:left="1440"/>
        <w:rPr>
          <w:b/>
          <w:bCs/>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Pour arriver au résultat de l’exercice il faut ajouter au résultat technique le résultat non technique qui est essentiellement composé de la part du résultat financier non liée aux provisions techniques et de la charge d’impôt sur les bénéfices. Sur la base du résultat net on peut calculer le ratio suivant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Résultat net N / Primes émises N (ou primes acquises)</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Il exprime le résultat net de la société pour 100 euros de primes.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On pourra également </w:t>
      </w:r>
      <w:r w:rsidRPr="00A83B39">
        <w:rPr>
          <w:b/>
          <w:bCs/>
          <w:color w:val="000000"/>
          <w:sz w:val="24"/>
          <w:szCs w:val="24"/>
        </w:rPr>
        <w:t xml:space="preserve">calculer le retour sur fonds propres investis ou ROE </w:t>
      </w:r>
      <w:r w:rsidRPr="00A83B39">
        <w:rPr>
          <w:color w:val="000000"/>
          <w:sz w:val="24"/>
          <w:szCs w:val="24"/>
        </w:rPr>
        <w:t>(return</w:t>
      </w: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On </w:t>
      </w:r>
      <w:proofErr w:type="spellStart"/>
      <w:r w:rsidRPr="00A83B39">
        <w:rPr>
          <w:color w:val="000000"/>
          <w:sz w:val="24"/>
          <w:szCs w:val="24"/>
        </w:rPr>
        <w:t>Equity</w:t>
      </w:r>
      <w:proofErr w:type="spellEnd"/>
      <w:r w:rsidRPr="00A83B39">
        <w:rPr>
          <w:color w:val="000000"/>
          <w:sz w:val="24"/>
          <w:szCs w:val="24"/>
        </w:rPr>
        <w:t>)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Résultat net N / Capitaux propres</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ROE mesure la rentabilité dégagée durant l’exercice par rapport aux capitaux propres engagés. Il s’agit d’un indicateur très utilisé. Il permet de mesurer la performance de la société notamment en comparant cet indicateur au taux sans risque.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Au numérateur le résultat net correspond au résultat de l’exercice après impôt.</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Au dénominateur le montant des capitaux propres est celui à l’ouverture, après affectation du résultat de l’exercice précédent. En cas de variations du capital en cours d’exercice il convient de les intégrer prorata </w:t>
      </w:r>
      <w:proofErr w:type="spellStart"/>
      <w:r w:rsidRPr="00A83B39">
        <w:rPr>
          <w:color w:val="000000"/>
          <w:sz w:val="24"/>
          <w:szCs w:val="24"/>
        </w:rPr>
        <w:t>temporis</w:t>
      </w:r>
      <w:proofErr w:type="spellEnd"/>
      <w:r w:rsidRPr="00A83B39">
        <w:rPr>
          <w:color w:val="000000"/>
          <w:sz w:val="24"/>
          <w:szCs w:val="24"/>
        </w:rPr>
        <w:t>.</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ROE ne mesure pas la rentabilité à long terme de la société mais seulement la rentabilité comptable de l’exercice en question. Celle-ci peut dépendre de facteurs exceptionnels tels que la réalisation de plus-values ou la réalisation de bonis et malis importants. Son interprétation doit être faite avec prudence en particulier après une année de déficit qui va générer non seulement une baisse du dénominateur (les capitaux propres) mais aussi une créance fiscale qui maximisera le résultat net comptable de l’année suivante. Cette indicateur est néanmoins très utilisé à la fois en tant qu’outil de communication financière ou comme objectif de performance financière.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pStyle w:val="ListParagraph"/>
        <w:numPr>
          <w:ilvl w:val="1"/>
          <w:numId w:val="12"/>
        </w:numPr>
        <w:ind w:left="788" w:hanging="431"/>
        <w:contextualSpacing w:val="0"/>
        <w:outlineLvl w:val="2"/>
        <w:rPr>
          <w:sz w:val="28"/>
        </w:rPr>
      </w:pPr>
      <w:r w:rsidRPr="00A83B39">
        <w:rPr>
          <w:sz w:val="28"/>
        </w:rPr>
        <w:t xml:space="preserve"> </w:t>
      </w:r>
      <w:bookmarkStart w:id="34" w:name="_Toc351126755"/>
      <w:r w:rsidRPr="00A83B39">
        <w:rPr>
          <w:sz w:val="28"/>
        </w:rPr>
        <w:t>Ratios et indicateurs en assurance vie</w:t>
      </w:r>
      <w:bookmarkEnd w:id="34"/>
    </w:p>
    <w:p w:rsidR="00806FB8" w:rsidRPr="00A83B39" w:rsidRDefault="00806FB8" w:rsidP="00806FB8">
      <w:pPr>
        <w:pStyle w:val="ListParagraph"/>
        <w:autoSpaceDE w:val="0"/>
        <w:autoSpaceDN w:val="0"/>
        <w:adjustRightInd w:val="0"/>
        <w:ind w:left="792"/>
        <w:jc w:val="left"/>
        <w:rPr>
          <w:sz w:val="28"/>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r w:rsidRPr="00A83B39">
        <w:rPr>
          <w:sz w:val="28"/>
        </w:rPr>
        <w:t xml:space="preserve"> </w:t>
      </w:r>
      <w:bookmarkStart w:id="35" w:name="_Toc351126756"/>
      <w:r w:rsidRPr="00A83B39">
        <w:rPr>
          <w:sz w:val="28"/>
        </w:rPr>
        <w:t>Ratios d’activité</w:t>
      </w:r>
      <w:bookmarkEnd w:id="35"/>
    </w:p>
    <w:p w:rsidR="00806FB8" w:rsidRPr="00A83B39" w:rsidRDefault="00806FB8" w:rsidP="00806FB8">
      <w:pPr>
        <w:pStyle w:val="ListParagraph"/>
        <w:autoSpaceDE w:val="0"/>
        <w:autoSpaceDN w:val="0"/>
        <w:adjustRightInd w:val="0"/>
        <w:ind w:left="1224"/>
        <w:jc w:val="left"/>
        <w:rPr>
          <w:sz w:val="28"/>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Taux de croissance des primes (émises ou acquises)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Tout comme en assurance non vie ce ratio se calcule de la manière suivante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Primes émises N / Primes émises N-1</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qui est un élément de communication financière pour les entreprises d’assurance doit cependant être interprété avec une certaine prudence du fait de la coexistence d’une activité épargne et d’une activité prévoyance moins significative en terme de prime mais à plus haut niveau de marge. Cette remarque est également valable pour les groupes qui rassemblent une activité non vie et une activité vie et qui communiquent sur leur chiffre d’affaires global. Les variations de l’activité épargne à la hausse ou à la baisse peuvent masquer l’évolution de la progression de l’activité non vie. Les variations de la collecte épargne peuvent être beaucoup plus importantes que celles de l’activité prévoyance, en fonction de facteurs exogènes (variation des taux de rémunération des livrets, modification de la fiscalité etc.)</w:t>
      </w: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En assurance vie les marges se construisent essentiellement sur le montant des encours gérés et une société peut donc connaître une baisse de sa production et continuer à voir son résultat progresser. A l’extrême une société ayant cessé toute collecte (mise en </w:t>
      </w:r>
      <w:proofErr w:type="spellStart"/>
      <w:r w:rsidRPr="00A83B39">
        <w:rPr>
          <w:color w:val="000000"/>
          <w:sz w:val="24"/>
          <w:szCs w:val="24"/>
        </w:rPr>
        <w:t>run</w:t>
      </w:r>
      <w:proofErr w:type="spellEnd"/>
      <w:r w:rsidRPr="00A83B39">
        <w:rPr>
          <w:color w:val="000000"/>
          <w:sz w:val="24"/>
          <w:szCs w:val="24"/>
        </w:rPr>
        <w:t>-off) peut réaliser un chiffre d’affaires nul et être parfaitement profitable.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taux de croissance peut être calculé par activité (prévoyance, épargne), par type de contrat (individuel, collectif), par contrat et par réseau.</w:t>
      </w:r>
    </w:p>
    <w:p w:rsidR="00806FB8" w:rsidRPr="00A83B39" w:rsidRDefault="00806FB8" w:rsidP="00806FB8">
      <w:pPr>
        <w:autoSpaceDE w:val="0"/>
        <w:autoSpaceDN w:val="0"/>
        <w:adjustRightInd w:val="0"/>
        <w:rPr>
          <w:color w:val="000000"/>
          <w:sz w:val="24"/>
          <w:szCs w:val="24"/>
        </w:rPr>
      </w:pPr>
      <w:r w:rsidRPr="00A83B39">
        <w:rPr>
          <w:color w:val="000000"/>
          <w:sz w:val="24"/>
          <w:szCs w:val="24"/>
        </w:rPr>
        <w:t>Il peut également être calculé net ou brut de réassurance. Dans le cas de l’activité épargne le poids de la réassurance est en général peut important et répond soit à une volonté d’optimisation du besoin de marge, soit à un besoin de couverture de garanties de prévoyance associées aux produits d’épargne (pep, plancher, accident).</w:t>
      </w:r>
    </w:p>
    <w:p w:rsidR="00806FB8" w:rsidRPr="00A83B39" w:rsidRDefault="00806FB8" w:rsidP="00806FB8">
      <w:pPr>
        <w:autoSpaceDE w:val="0"/>
        <w:autoSpaceDN w:val="0"/>
        <w:adjustRightInd w:val="0"/>
        <w:rPr>
          <w:color w:val="000000"/>
          <w:sz w:val="24"/>
          <w:szCs w:val="24"/>
        </w:rPr>
      </w:pPr>
      <w:r w:rsidRPr="00A83B39">
        <w:rPr>
          <w:color w:val="000000"/>
          <w:sz w:val="24"/>
          <w:szCs w:val="24"/>
        </w:rPr>
        <w:t>En complément et afin de mieux analyser la performance commerciale l’entreprise va sur la base d’informations internes calculer des taux de croissance en fonction des types de versements.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chiffre d’affaires est composé :</w:t>
      </w:r>
    </w:p>
    <w:p w:rsidR="00806FB8" w:rsidRPr="00A83B39" w:rsidRDefault="00806FB8" w:rsidP="00806FB8">
      <w:pPr>
        <w:pStyle w:val="ListParagraph"/>
        <w:numPr>
          <w:ilvl w:val="0"/>
          <w:numId w:val="30"/>
        </w:numPr>
        <w:autoSpaceDE w:val="0"/>
        <w:autoSpaceDN w:val="0"/>
        <w:adjustRightInd w:val="0"/>
        <w:rPr>
          <w:color w:val="000000"/>
          <w:sz w:val="24"/>
          <w:szCs w:val="24"/>
        </w:rPr>
      </w:pPr>
      <w:r w:rsidRPr="00A83B39">
        <w:rPr>
          <w:color w:val="000000"/>
          <w:sz w:val="24"/>
          <w:szCs w:val="24"/>
        </w:rPr>
        <w:t>de versements sur des contrats à primes uniques ;</w:t>
      </w:r>
    </w:p>
    <w:p w:rsidR="00806FB8" w:rsidRPr="00A83B39" w:rsidRDefault="00806FB8" w:rsidP="00806FB8">
      <w:pPr>
        <w:pStyle w:val="ListParagraph"/>
        <w:numPr>
          <w:ilvl w:val="0"/>
          <w:numId w:val="30"/>
        </w:numPr>
        <w:autoSpaceDE w:val="0"/>
        <w:autoSpaceDN w:val="0"/>
        <w:adjustRightInd w:val="0"/>
        <w:rPr>
          <w:color w:val="000000"/>
          <w:sz w:val="24"/>
          <w:szCs w:val="24"/>
        </w:rPr>
      </w:pPr>
      <w:r w:rsidRPr="00A83B39">
        <w:rPr>
          <w:color w:val="000000"/>
          <w:sz w:val="24"/>
          <w:szCs w:val="24"/>
        </w:rPr>
        <w:t>de versements initiaux ou libres sur des contrats à versements libres ;</w:t>
      </w:r>
    </w:p>
    <w:p w:rsidR="00806FB8" w:rsidRPr="00A83B39" w:rsidRDefault="00806FB8" w:rsidP="00806FB8">
      <w:pPr>
        <w:pStyle w:val="ListParagraph"/>
        <w:numPr>
          <w:ilvl w:val="0"/>
          <w:numId w:val="30"/>
        </w:numPr>
        <w:autoSpaceDE w:val="0"/>
        <w:autoSpaceDN w:val="0"/>
        <w:adjustRightInd w:val="0"/>
        <w:rPr>
          <w:color w:val="000000"/>
          <w:sz w:val="24"/>
          <w:szCs w:val="24"/>
        </w:rPr>
      </w:pPr>
      <w:r w:rsidRPr="00A83B39">
        <w:rPr>
          <w:color w:val="000000"/>
          <w:sz w:val="24"/>
          <w:szCs w:val="24"/>
        </w:rPr>
        <w:t>des versements programmés ou périodiques sur des contrats qui peuvent avoir été souscrit durant l’exercice ou sur des exercices antérieurs.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Dans le cas des versements programmés ou périodiques il est également possible d’annualiser le montant des primes périodiques sur les contrats souscrit dans l’année pour réaliser une analyse plus fine.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Collecte nette / taux de croissance collecte nette</w:t>
      </w:r>
    </w:p>
    <w:p w:rsidR="00806FB8" w:rsidRPr="00A83B39" w:rsidRDefault="00806FB8" w:rsidP="00806FB8">
      <w:pPr>
        <w:pStyle w:val="ListParagraph"/>
        <w:autoSpaceDE w:val="0"/>
        <w:autoSpaceDN w:val="0"/>
        <w:adjustRightInd w:val="0"/>
        <w:ind w:left="1440"/>
        <w:rPr>
          <w:b/>
          <w:bCs/>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Cet indicateur prend tout son sens pour l’activité épargne. La collecte nette est égale à la différence entre les primes et les prestations.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Primes émises N – Prestations N</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Les prestations sont égales à la somme des sinistres, des rachats (partiels ou totaux) et plus marginalement des arrérages. On peut également calculer le taux de croissance de la collecte nette.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Collecte nette N / Collecte nette N-1</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La collecte nette est un bon indicateur sur les flux de trésorerie générés par l’activité des assureurs. Par conséquent elle permet d’apprécier la capacité de l’assureur à générer de l’encours supplémentaire qui lui permettra d’augmenter sa marge future. Cet indicateur a pris une importance toute nouvelle fin 2008. En effet suite à l’accélération de la crise financière et de la déroute de certains acteurs financiers importants (Lehmann, AIG, Dexia, Fortis..) les assureurs vie ont connus une augmentation du taux de rachat et parallèlement une baisse de la collecte. Pour la première fois de leur histoire les assureurs vie se sont retrouvés en situation de collecte nette négative. Le risque était que cette situation perdure et que les assureurs se retrouvent contraints de céder des actifs pour couvrir les rachats, entrainant au passage la réalisation de moins-values. Cette inquiétude a d’ailleurs conduit l’ACAM à mettre en place en urgence en octobre 2008 un suivi hebdomadaire de la collecte nette et du taux de rachat de certaines sociétés d’assurance. Ce suivi est toujours en vigueur en 2010.</w:t>
      </w:r>
    </w:p>
    <w:p w:rsidR="00806FB8" w:rsidRPr="00A83B39" w:rsidRDefault="00806FB8" w:rsidP="00806FB8">
      <w:pPr>
        <w:autoSpaceDE w:val="0"/>
        <w:autoSpaceDN w:val="0"/>
        <w:adjustRightInd w:val="0"/>
        <w:rPr>
          <w:color w:val="000000"/>
          <w:sz w:val="24"/>
          <w:szCs w:val="24"/>
        </w:rPr>
      </w:pPr>
      <w:r w:rsidRPr="00A83B39">
        <w:rPr>
          <w:color w:val="000000"/>
          <w:sz w:val="24"/>
          <w:szCs w:val="24"/>
        </w:rPr>
        <w:t>La collecte nette peut être associée au taux de chute.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b/>
          <w:bCs/>
          <w:color w:val="000000"/>
          <w:sz w:val="24"/>
          <w:szCs w:val="24"/>
        </w:rPr>
      </w:pPr>
      <w:r w:rsidRPr="00A83B39">
        <w:rPr>
          <w:b/>
          <w:bCs/>
          <w:color w:val="000000"/>
          <w:sz w:val="24"/>
          <w:szCs w:val="24"/>
        </w:rPr>
        <w:t>Taux de chute</w:t>
      </w:r>
    </w:p>
    <w:p w:rsidR="00806FB8" w:rsidRPr="00A83B39" w:rsidRDefault="00806FB8" w:rsidP="00806FB8">
      <w:pPr>
        <w:autoSpaceDE w:val="0"/>
        <w:autoSpaceDN w:val="0"/>
        <w:adjustRightInd w:val="0"/>
        <w:rPr>
          <w:b/>
          <w:bCs/>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taux de chute se calcule de la manière suivante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Prestations N / Provisions mathématiques 01/01</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taux exprime le pourcentage des encours sortis en cours d’année. En situation normale ce taux est d’autant plus fort que la société est ancienne. En effet l’âge moyen des assurés influe sur le taux de sinistres et l’âge des contrats influe sur le taux de rachat du fait de l’existence de dissuasions fiscales lors des 8 premières années du contrat. Il permet, de façon approximative, d’estimer le nombre d’années d’écoulement de l’encours en l’absence de production nouvelle.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b/>
          <w:bCs/>
          <w:color w:val="000000"/>
          <w:sz w:val="24"/>
          <w:szCs w:val="24"/>
        </w:rPr>
      </w:pPr>
      <w:r w:rsidRPr="00A83B39">
        <w:rPr>
          <w:b/>
          <w:bCs/>
          <w:color w:val="000000"/>
          <w:sz w:val="24"/>
          <w:szCs w:val="24"/>
        </w:rPr>
        <w:t>Taux de collecte</w:t>
      </w:r>
    </w:p>
    <w:p w:rsidR="00806FB8" w:rsidRPr="00A83B39" w:rsidRDefault="00806FB8" w:rsidP="00806FB8">
      <w:pPr>
        <w:autoSpaceDE w:val="0"/>
        <w:autoSpaceDN w:val="0"/>
        <w:adjustRightInd w:val="0"/>
        <w:rPr>
          <w:b/>
          <w:bCs/>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Symétriquement au taux de chute on peut calculer le taux de collecte :</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Primes N / Provisions mathématiques 01/01</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Ce ratio exprime le poids des primes de l’année comparée aux encours de début d’année. Ce taux est d’autant plus fort que la société est jeune et en croissance. On arrivera ainsi au </w:t>
      </w:r>
      <w:r w:rsidRPr="00A83B39">
        <w:rPr>
          <w:b/>
          <w:bCs/>
          <w:color w:val="000000"/>
          <w:sz w:val="24"/>
          <w:szCs w:val="24"/>
        </w:rPr>
        <w:t xml:space="preserve">taux de collecte nette </w:t>
      </w:r>
      <w:r w:rsidRPr="00A83B39">
        <w:rPr>
          <w:color w:val="000000"/>
          <w:sz w:val="24"/>
          <w:szCs w:val="24"/>
        </w:rPr>
        <w:t>qui est égal à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Taux de collecte – Taux de chute</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C’est à dire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(Primes N – Prestations N) / Provisions mathématiques 01/01</w:t>
      </w:r>
    </w:p>
    <w:p w:rsidR="00806FB8" w:rsidRPr="00A83B39" w:rsidRDefault="00806FB8" w:rsidP="00806FB8">
      <w:pPr>
        <w:autoSpaceDE w:val="0"/>
        <w:autoSpaceDN w:val="0"/>
        <w:adjustRightInd w:val="0"/>
        <w:jc w:val="left"/>
        <w:rPr>
          <w:rFonts w:ascii="ArialMT" w:hAnsi="ArialMT" w:cs="ArialMT"/>
          <w:color w:val="000081"/>
          <w:szCs w:val="22"/>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36" w:name="_Toc351126757"/>
      <w:r w:rsidRPr="00A83B39">
        <w:rPr>
          <w:sz w:val="28"/>
        </w:rPr>
        <w:t>Ratios techniques et financiers</w:t>
      </w:r>
      <w:bookmarkEnd w:id="36"/>
    </w:p>
    <w:p w:rsidR="00806FB8" w:rsidRPr="00A83B39" w:rsidRDefault="00806FB8" w:rsidP="00806FB8">
      <w:pPr>
        <w:autoSpaceDE w:val="0"/>
        <w:autoSpaceDN w:val="0"/>
        <w:adjustRightInd w:val="0"/>
        <w:jc w:val="left"/>
        <w:rPr>
          <w:sz w:val="28"/>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lastRenderedPageBreak/>
        <w:t>Taux de croissance des provisions mathématiques</w:t>
      </w:r>
    </w:p>
    <w:p w:rsidR="00806FB8" w:rsidRPr="00A83B39" w:rsidRDefault="00806FB8" w:rsidP="00806FB8">
      <w:pPr>
        <w:pStyle w:val="ListParagraph"/>
        <w:autoSpaceDE w:val="0"/>
        <w:autoSpaceDN w:val="0"/>
        <w:adjustRightInd w:val="0"/>
        <w:ind w:left="1440"/>
        <w:rPr>
          <w:b/>
          <w:bCs/>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 ratio se calcule ainsi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Provisions mathématiques N / Provisions mathématiques N-1</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C’est un indicateur primordial en assurance vie puisque c’est sur la gestion de ses provisions mathématiques que l’assureur va réaliser une grande partie de sa marge.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Pour les contrats libellés en euros la croissance des provisions mathématiques est égale aux provisions mathématiques au 31/12/N-1 + collecte nette N – frais prélevés</w:t>
      </w:r>
    </w:p>
    <w:p w:rsidR="00806FB8" w:rsidRPr="00A83B39" w:rsidRDefault="00806FB8" w:rsidP="00806FB8">
      <w:pPr>
        <w:autoSpaceDE w:val="0"/>
        <w:autoSpaceDN w:val="0"/>
        <w:adjustRightInd w:val="0"/>
        <w:rPr>
          <w:color w:val="000000"/>
          <w:sz w:val="24"/>
          <w:szCs w:val="24"/>
        </w:rPr>
      </w:pPr>
      <w:proofErr w:type="gramStart"/>
      <w:r w:rsidRPr="00A83B39">
        <w:rPr>
          <w:color w:val="000000"/>
          <w:sz w:val="24"/>
          <w:szCs w:val="24"/>
        </w:rPr>
        <w:t>aux</w:t>
      </w:r>
      <w:proofErr w:type="gramEnd"/>
      <w:r w:rsidRPr="00A83B39">
        <w:rPr>
          <w:color w:val="000000"/>
          <w:sz w:val="24"/>
          <w:szCs w:val="24"/>
        </w:rPr>
        <w:t xml:space="preserve"> contrats sur primes + revalorisation des contrats. </w:t>
      </w:r>
    </w:p>
    <w:p w:rsidR="00806FB8" w:rsidRPr="00A83B39" w:rsidRDefault="00806FB8" w:rsidP="00806FB8">
      <w:pPr>
        <w:autoSpaceDE w:val="0"/>
        <w:autoSpaceDN w:val="0"/>
        <w:adjustRightInd w:val="0"/>
        <w:rPr>
          <w:color w:val="000000"/>
          <w:sz w:val="24"/>
          <w:szCs w:val="24"/>
        </w:rPr>
      </w:pPr>
      <w:r w:rsidRPr="00A83B39">
        <w:rPr>
          <w:color w:val="000000"/>
          <w:sz w:val="24"/>
          <w:szCs w:val="24"/>
        </w:rPr>
        <w:t>En absence de collecte les provisions mathématiques peuvent donc continuer à progresser.</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Pour les contrats en unités de compte la revalorisation des contrats dépend de la variation de la valeur des parts. En période de baisse des marchés, les provisions mathématiques peuvent donc diminuer entrainant une baisse des frais de gestion prélevés par l’assureur. Cette situation a été observée en 2008. Il sera intéressant de comparer l’évolution des provisions mathématiques à l’évolution des frais de gestion.</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Ratios de frais de gestion</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Si les ratios proposés dans le cadre de l’assurance non vie peuvent être utilisés pour l’assurance vie, ils seront surtout pertinents pour l’activité prévoyance. Pour l’activité épargne, il sera plus intéressant de calculer le ratio de frais d’administration sur la base des provisions mathématiques.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1"/>
          <w:numId w:val="29"/>
        </w:numPr>
        <w:autoSpaceDE w:val="0"/>
        <w:autoSpaceDN w:val="0"/>
        <w:adjustRightInd w:val="0"/>
        <w:rPr>
          <w:b/>
          <w:bCs/>
          <w:color w:val="000000"/>
          <w:sz w:val="24"/>
          <w:szCs w:val="24"/>
        </w:rPr>
      </w:pPr>
      <w:r w:rsidRPr="00A83B39">
        <w:rPr>
          <w:b/>
          <w:bCs/>
          <w:color w:val="000000"/>
          <w:sz w:val="24"/>
          <w:szCs w:val="24"/>
        </w:rPr>
        <w:t>Analyse du résultat financier</w:t>
      </w:r>
    </w:p>
    <w:p w:rsidR="00806FB8" w:rsidRPr="00A83B39" w:rsidRDefault="00806FB8" w:rsidP="00806FB8">
      <w:pPr>
        <w:autoSpaceDE w:val="0"/>
        <w:autoSpaceDN w:val="0"/>
        <w:adjustRightInd w:val="0"/>
        <w:rPr>
          <w:color w:val="000000"/>
          <w:sz w:val="24"/>
          <w:szCs w:val="24"/>
        </w:rPr>
      </w:pPr>
      <w:r w:rsidRPr="00A83B39">
        <w:rPr>
          <w:color w:val="000000"/>
          <w:sz w:val="24"/>
          <w:szCs w:val="24"/>
        </w:rPr>
        <w:t>En assurance vie l’analyse du résultat financier revêt une grande importance. Comme en assurance non vie on pourra calculer d’une part le rendement « comptable » des actifs et d’autre part le rendement réel des actifs.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résultat financier comptable s’explique par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pStyle w:val="ListParagraph"/>
        <w:numPr>
          <w:ilvl w:val="0"/>
          <w:numId w:val="31"/>
        </w:numPr>
        <w:autoSpaceDE w:val="0"/>
        <w:autoSpaceDN w:val="0"/>
        <w:adjustRightInd w:val="0"/>
        <w:rPr>
          <w:color w:val="000000"/>
          <w:sz w:val="24"/>
          <w:szCs w:val="24"/>
        </w:rPr>
      </w:pPr>
      <w:r w:rsidRPr="00A83B39">
        <w:rPr>
          <w:color w:val="000000"/>
          <w:sz w:val="24"/>
          <w:szCs w:val="24"/>
        </w:rPr>
        <w:t>Les revenus récurrents perçus sur les actifs obligataires et immobiliers ;</w:t>
      </w:r>
    </w:p>
    <w:p w:rsidR="00806FB8" w:rsidRPr="00A83B39" w:rsidRDefault="00806FB8" w:rsidP="00806FB8">
      <w:pPr>
        <w:pStyle w:val="ListParagraph"/>
        <w:numPr>
          <w:ilvl w:val="0"/>
          <w:numId w:val="31"/>
        </w:numPr>
        <w:autoSpaceDE w:val="0"/>
        <w:autoSpaceDN w:val="0"/>
        <w:adjustRightInd w:val="0"/>
        <w:rPr>
          <w:color w:val="000000"/>
          <w:sz w:val="24"/>
          <w:szCs w:val="24"/>
        </w:rPr>
      </w:pPr>
      <w:r w:rsidRPr="00A83B39">
        <w:rPr>
          <w:color w:val="000000"/>
          <w:sz w:val="24"/>
          <w:szCs w:val="24"/>
        </w:rPr>
        <w:t>Les plus et moins-values constatées lors de la vente d’actifs immobiliers ou d’actions. Les plus-values dégagées lors de la vente d’obligations sont en principe neutralisées par une dotation à la réserve de capitalisation ;</w:t>
      </w:r>
    </w:p>
    <w:p w:rsidR="00806FB8" w:rsidRPr="00A83B39" w:rsidRDefault="00806FB8" w:rsidP="00806FB8">
      <w:pPr>
        <w:pStyle w:val="ListParagraph"/>
        <w:numPr>
          <w:ilvl w:val="0"/>
          <w:numId w:val="31"/>
        </w:numPr>
        <w:autoSpaceDE w:val="0"/>
        <w:autoSpaceDN w:val="0"/>
        <w:adjustRightInd w:val="0"/>
        <w:rPr>
          <w:color w:val="000000"/>
          <w:sz w:val="24"/>
          <w:szCs w:val="24"/>
        </w:rPr>
      </w:pPr>
      <w:r w:rsidRPr="00A83B39">
        <w:rPr>
          <w:color w:val="000000"/>
          <w:sz w:val="24"/>
          <w:szCs w:val="24"/>
        </w:rPr>
        <w:t>Les dotations aux provisions ;</w:t>
      </w:r>
    </w:p>
    <w:p w:rsidR="00806FB8" w:rsidRPr="00A83B39" w:rsidRDefault="00806FB8" w:rsidP="00806FB8">
      <w:pPr>
        <w:pStyle w:val="ListParagraph"/>
        <w:numPr>
          <w:ilvl w:val="0"/>
          <w:numId w:val="31"/>
        </w:numPr>
        <w:autoSpaceDE w:val="0"/>
        <w:autoSpaceDN w:val="0"/>
        <w:adjustRightInd w:val="0"/>
        <w:rPr>
          <w:color w:val="000000"/>
          <w:sz w:val="24"/>
          <w:szCs w:val="24"/>
        </w:rPr>
      </w:pPr>
      <w:r w:rsidRPr="00A83B39">
        <w:rPr>
          <w:color w:val="000000"/>
          <w:sz w:val="24"/>
          <w:szCs w:val="24"/>
        </w:rPr>
        <w:t>Les frais de gestion des placements.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Une société peut donc augmenter son résultat financier en cédant des actifs en </w:t>
      </w:r>
      <w:proofErr w:type="spellStart"/>
      <w:r w:rsidRPr="00A83B39">
        <w:rPr>
          <w:color w:val="000000"/>
          <w:sz w:val="24"/>
          <w:szCs w:val="24"/>
        </w:rPr>
        <w:t>plus value</w:t>
      </w:r>
      <w:proofErr w:type="spellEnd"/>
      <w:r w:rsidRPr="00A83B39">
        <w:rPr>
          <w:color w:val="000000"/>
          <w:sz w:val="24"/>
          <w:szCs w:val="24"/>
        </w:rPr>
        <w:t xml:space="preserve">. Le résultat financier comptable est différent du résultat financier réel. Le résultat financier comptable peut donc faire l’objet d’un pilotage à la condition que la société dispose de plus-values latentes et que celles-ci soient facilement réalisables ce qui n’est pas </w:t>
      </w:r>
      <w:proofErr w:type="spellStart"/>
      <w:r w:rsidRPr="00A83B39">
        <w:rPr>
          <w:color w:val="000000"/>
          <w:sz w:val="24"/>
          <w:szCs w:val="24"/>
        </w:rPr>
        <w:t>forcement</w:t>
      </w:r>
      <w:proofErr w:type="spellEnd"/>
      <w:r w:rsidRPr="00A83B39">
        <w:rPr>
          <w:color w:val="000000"/>
          <w:sz w:val="24"/>
          <w:szCs w:val="24"/>
        </w:rPr>
        <w:t xml:space="preserve"> le cas (exemple de plus-values immobilières).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Le </w:t>
      </w:r>
      <w:r w:rsidRPr="00A83B39">
        <w:rPr>
          <w:b/>
          <w:bCs/>
          <w:color w:val="000000"/>
          <w:sz w:val="24"/>
          <w:szCs w:val="24"/>
        </w:rPr>
        <w:t xml:space="preserve">rendement comptable </w:t>
      </w:r>
      <w:r w:rsidRPr="00A83B39">
        <w:rPr>
          <w:color w:val="000000"/>
          <w:sz w:val="24"/>
          <w:szCs w:val="24"/>
        </w:rPr>
        <w:t>des actifs est égal à :</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Résultat financier N / Actifs gérés</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résultat financier est égal aux produits des placements moins les charges des placements. Le montant des actifs correspond aux placements présents au bilan et repris au niveau de l’état détaillé des placements de l’annexe aux comptes (hors contrat en unités de compte).</w:t>
      </w:r>
    </w:p>
    <w:p w:rsidR="00806FB8" w:rsidRPr="00A83B39" w:rsidRDefault="00806FB8" w:rsidP="00806FB8">
      <w:pPr>
        <w:autoSpaceDE w:val="0"/>
        <w:autoSpaceDN w:val="0"/>
        <w:adjustRightInd w:val="0"/>
        <w:rPr>
          <w:b/>
          <w:bCs/>
          <w:color w:val="000000"/>
          <w:sz w:val="24"/>
          <w:szCs w:val="24"/>
        </w:rPr>
      </w:pPr>
    </w:p>
    <w:p w:rsidR="00806FB8" w:rsidRPr="00A83B39" w:rsidRDefault="00806FB8" w:rsidP="00806FB8">
      <w:pPr>
        <w:autoSpaceDE w:val="0"/>
        <w:autoSpaceDN w:val="0"/>
        <w:adjustRightInd w:val="0"/>
        <w:rPr>
          <w:b/>
          <w:bCs/>
          <w:color w:val="000000"/>
          <w:sz w:val="24"/>
          <w:szCs w:val="24"/>
        </w:rPr>
      </w:pPr>
      <w:r w:rsidRPr="00A83B39">
        <w:rPr>
          <w:b/>
          <w:bCs/>
          <w:color w:val="000000"/>
          <w:sz w:val="24"/>
          <w:szCs w:val="24"/>
        </w:rPr>
        <w:lastRenderedPageBreak/>
        <w:t>Ce rendement doit être comparé au taux de rendement distribué aux assurés dans le cadre de la participation aux résultats.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Ce rendement comptable peut être scindé entre le résultat hors plus-values et le résultat financier issu des plus ou </w:t>
      </w:r>
      <w:proofErr w:type="spellStart"/>
      <w:r w:rsidRPr="00A83B39">
        <w:rPr>
          <w:color w:val="000000"/>
          <w:sz w:val="24"/>
          <w:szCs w:val="24"/>
        </w:rPr>
        <w:t>moins values</w:t>
      </w:r>
      <w:proofErr w:type="spellEnd"/>
      <w:r w:rsidRPr="00A83B39">
        <w:rPr>
          <w:color w:val="000000"/>
          <w:sz w:val="24"/>
          <w:szCs w:val="24"/>
        </w:rPr>
        <w:t xml:space="preserve"> de cessions.</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Résultat financier N hors plus-values / Actifs gérés</w:t>
      </w:r>
    </w:p>
    <w:p w:rsidR="00806FB8" w:rsidRPr="00A83B39" w:rsidRDefault="00806FB8" w:rsidP="00806FB8">
      <w:pPr>
        <w:autoSpaceDE w:val="0"/>
        <w:autoSpaceDN w:val="0"/>
        <w:adjustRightInd w:val="0"/>
        <w:rPr>
          <w:color w:val="000081"/>
          <w:sz w:val="24"/>
          <w:szCs w:val="24"/>
        </w:rPr>
      </w:pPr>
      <w:r w:rsidRPr="00A83B39">
        <w:rPr>
          <w:color w:val="000081"/>
          <w:sz w:val="24"/>
          <w:szCs w:val="24"/>
        </w:rPr>
        <w:t>+</w:t>
      </w:r>
    </w:p>
    <w:p w:rsidR="00806FB8" w:rsidRPr="00A83B39" w:rsidRDefault="00806FB8" w:rsidP="00806FB8">
      <w:pPr>
        <w:autoSpaceDE w:val="0"/>
        <w:autoSpaceDN w:val="0"/>
        <w:adjustRightInd w:val="0"/>
        <w:rPr>
          <w:color w:val="000081"/>
          <w:sz w:val="24"/>
          <w:szCs w:val="24"/>
        </w:rPr>
      </w:pPr>
      <w:r w:rsidRPr="00A83B39">
        <w:rPr>
          <w:color w:val="000081"/>
          <w:sz w:val="24"/>
          <w:szCs w:val="24"/>
        </w:rPr>
        <w:t>Plus ou moins-values réalisées / Actifs gérés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En parallèle il est nécessaire de suivre et d’analyser le stock de plus-values et la « consommation » de ce stock. Le taux de réalisation des plus-values peut être calculé de la façon suivante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Plus ou moins-values réalisées / Plus-values latentes au 01/01</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L’objectif de la réalisation des plus-values est de permettre soit la majoration de la participation aux résultats, soit l’augmentation du résultat (dans la limite des conditions contractuelles et réglementaires), ou plus généralement les deux. Une entreprise peut donc lisser son résultat financier en réalisant des plus-values, mais lorsque les marchés sont peu favorables son stock de plus-values peut diminuer, voire devenir négatif. Ainsi il convient de suivre le stock de plus-values. On pourra calculer l’évolution des </w:t>
      </w:r>
      <w:proofErr w:type="spellStart"/>
      <w:r w:rsidRPr="00A83B39">
        <w:rPr>
          <w:color w:val="000000"/>
          <w:sz w:val="24"/>
          <w:szCs w:val="24"/>
        </w:rPr>
        <w:t>plus values</w:t>
      </w:r>
      <w:proofErr w:type="spellEnd"/>
      <w:r w:rsidRPr="00A83B39">
        <w:rPr>
          <w:color w:val="000000"/>
          <w:sz w:val="24"/>
          <w:szCs w:val="24"/>
        </w:rPr>
        <w:t xml:space="preserve"> latentes ainsi que le taux de plus-value latente.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81"/>
          <w:sz w:val="24"/>
          <w:szCs w:val="24"/>
        </w:rPr>
      </w:pPr>
      <w:proofErr w:type="spellStart"/>
      <w:r w:rsidRPr="00A83B39">
        <w:rPr>
          <w:color w:val="000081"/>
          <w:sz w:val="24"/>
          <w:szCs w:val="24"/>
        </w:rPr>
        <w:t>Plus values</w:t>
      </w:r>
      <w:proofErr w:type="spellEnd"/>
      <w:r w:rsidRPr="00A83B39">
        <w:rPr>
          <w:color w:val="000081"/>
          <w:sz w:val="24"/>
          <w:szCs w:val="24"/>
        </w:rPr>
        <w:t xml:space="preserve"> latentes au 31/12 / </w:t>
      </w:r>
      <w:proofErr w:type="spellStart"/>
      <w:r w:rsidRPr="00A83B39">
        <w:rPr>
          <w:color w:val="000081"/>
          <w:sz w:val="24"/>
          <w:szCs w:val="24"/>
        </w:rPr>
        <w:t>plus values</w:t>
      </w:r>
      <w:proofErr w:type="spellEnd"/>
      <w:r w:rsidRPr="00A83B39">
        <w:rPr>
          <w:color w:val="000081"/>
          <w:sz w:val="24"/>
          <w:szCs w:val="24"/>
        </w:rPr>
        <w:t xml:space="preserve"> latentes au 01/01</w:t>
      </w:r>
    </w:p>
    <w:p w:rsidR="00806FB8" w:rsidRPr="00A83B39" w:rsidRDefault="00806FB8" w:rsidP="00806FB8">
      <w:pPr>
        <w:autoSpaceDE w:val="0"/>
        <w:autoSpaceDN w:val="0"/>
        <w:adjustRightInd w:val="0"/>
        <w:rPr>
          <w:color w:val="000081"/>
          <w:sz w:val="24"/>
          <w:szCs w:val="24"/>
        </w:rPr>
      </w:pPr>
      <w:proofErr w:type="spellStart"/>
      <w:r w:rsidRPr="00A83B39">
        <w:rPr>
          <w:color w:val="000081"/>
          <w:sz w:val="24"/>
          <w:szCs w:val="24"/>
        </w:rPr>
        <w:t>Plus values</w:t>
      </w:r>
      <w:proofErr w:type="spellEnd"/>
      <w:r w:rsidRPr="00A83B39">
        <w:rPr>
          <w:color w:val="000081"/>
          <w:sz w:val="24"/>
          <w:szCs w:val="24"/>
        </w:rPr>
        <w:t xml:space="preserve"> latentes au 31/12 / actifs gérés</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Ces ratios peuvent être calculés en global et par catégories d’actifs. Il est en particulier important de différencier les plus-values obligataires des autres plus-values.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Le </w:t>
      </w:r>
      <w:r w:rsidRPr="00A83B39">
        <w:rPr>
          <w:b/>
          <w:bCs/>
          <w:color w:val="000000"/>
          <w:sz w:val="24"/>
          <w:szCs w:val="24"/>
        </w:rPr>
        <w:t xml:space="preserve">rendement réel </w:t>
      </w:r>
      <w:r w:rsidRPr="00A83B39">
        <w:rPr>
          <w:color w:val="000000"/>
          <w:sz w:val="24"/>
          <w:szCs w:val="24"/>
        </w:rPr>
        <w:t>des actifs est égal à :</w:t>
      </w:r>
    </w:p>
    <w:p w:rsidR="00806FB8" w:rsidRPr="00A83B39" w:rsidRDefault="00806FB8" w:rsidP="00806FB8">
      <w:pPr>
        <w:autoSpaceDE w:val="0"/>
        <w:autoSpaceDN w:val="0"/>
        <w:adjustRightInd w:val="0"/>
        <w:rPr>
          <w:color w:val="000081"/>
          <w:sz w:val="24"/>
          <w:szCs w:val="24"/>
        </w:rPr>
      </w:pPr>
    </w:p>
    <w:p w:rsidR="00806FB8" w:rsidRPr="00A83B39" w:rsidRDefault="00806FB8" w:rsidP="00806FB8">
      <w:pPr>
        <w:autoSpaceDE w:val="0"/>
        <w:autoSpaceDN w:val="0"/>
        <w:adjustRightInd w:val="0"/>
        <w:rPr>
          <w:color w:val="000081"/>
          <w:sz w:val="24"/>
          <w:szCs w:val="24"/>
        </w:rPr>
      </w:pPr>
      <w:r w:rsidRPr="00A83B39">
        <w:rPr>
          <w:color w:val="000081"/>
          <w:sz w:val="24"/>
          <w:szCs w:val="24"/>
        </w:rPr>
        <w:t xml:space="preserve">Résultat financier N + variation des </w:t>
      </w:r>
      <w:proofErr w:type="spellStart"/>
      <w:r w:rsidRPr="00A83B39">
        <w:rPr>
          <w:color w:val="000081"/>
          <w:sz w:val="24"/>
          <w:szCs w:val="24"/>
        </w:rPr>
        <w:t>plus values</w:t>
      </w:r>
      <w:proofErr w:type="spellEnd"/>
      <w:r w:rsidRPr="00A83B39">
        <w:rPr>
          <w:color w:val="000081"/>
          <w:sz w:val="24"/>
          <w:szCs w:val="24"/>
        </w:rPr>
        <w:t xml:space="preserve"> latentes / Actifs gérés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Le résultat financier réel intègre la variation du stock de </w:t>
      </w:r>
      <w:proofErr w:type="spellStart"/>
      <w:r w:rsidRPr="00A83B39">
        <w:rPr>
          <w:color w:val="000000"/>
          <w:sz w:val="24"/>
          <w:szCs w:val="24"/>
        </w:rPr>
        <w:t>plus values</w:t>
      </w:r>
      <w:proofErr w:type="spellEnd"/>
      <w:r w:rsidRPr="00A83B39">
        <w:rPr>
          <w:color w:val="000000"/>
          <w:sz w:val="24"/>
          <w:szCs w:val="24"/>
        </w:rPr>
        <w:t xml:space="preserve">-latentes. Ce rendement réel sera à comparer à l’évolution des indices de marché pour situer la performance relative du portefeuille. </w:t>
      </w:r>
      <w:r w:rsidRPr="00A83B39">
        <w:rPr>
          <w:b/>
          <w:bCs/>
          <w:color w:val="000000"/>
          <w:sz w:val="24"/>
          <w:szCs w:val="24"/>
        </w:rPr>
        <w:t>En cas de baisse des marchés actions ou de</w:t>
      </w:r>
      <w:r w:rsidRPr="00A83B39">
        <w:rPr>
          <w:color w:val="000000"/>
          <w:sz w:val="24"/>
          <w:szCs w:val="24"/>
        </w:rPr>
        <w:t xml:space="preserve"> </w:t>
      </w:r>
      <w:r w:rsidRPr="00A83B39">
        <w:rPr>
          <w:b/>
          <w:bCs/>
          <w:color w:val="000000"/>
          <w:sz w:val="24"/>
          <w:szCs w:val="24"/>
        </w:rPr>
        <w:t>hausse des taux, le rendement des portefeuilles des assureurs peut être négatif</w:t>
      </w:r>
      <w:r w:rsidRPr="00A83B39">
        <w:rPr>
          <w:color w:val="000000"/>
          <w:sz w:val="24"/>
          <w:szCs w:val="24"/>
        </w:rPr>
        <w:t xml:space="preserve"> </w:t>
      </w:r>
      <w:r w:rsidRPr="00A83B39">
        <w:rPr>
          <w:b/>
          <w:bCs/>
          <w:color w:val="000000"/>
          <w:sz w:val="24"/>
          <w:szCs w:val="24"/>
        </w:rPr>
        <w:t>alors que le rendement comptable reste positif du fait de l’existence d’un résultat</w:t>
      </w:r>
      <w:r w:rsidRPr="00A83B39">
        <w:rPr>
          <w:color w:val="000000"/>
          <w:sz w:val="24"/>
          <w:szCs w:val="24"/>
        </w:rPr>
        <w:t xml:space="preserve"> </w:t>
      </w:r>
      <w:r w:rsidRPr="00A83B39">
        <w:rPr>
          <w:b/>
          <w:bCs/>
          <w:color w:val="000000"/>
          <w:sz w:val="24"/>
          <w:szCs w:val="24"/>
        </w:rPr>
        <w:t>récurrent</w:t>
      </w:r>
      <w:r w:rsidRPr="00A83B39">
        <w:rPr>
          <w:color w:val="000000"/>
          <w:sz w:val="24"/>
          <w:szCs w:val="24"/>
        </w:rPr>
        <w:t xml:space="preserve">. </w:t>
      </w:r>
      <w:r w:rsidRPr="00A83B39">
        <w:rPr>
          <w:b/>
          <w:bCs/>
          <w:color w:val="000000"/>
          <w:sz w:val="24"/>
          <w:szCs w:val="24"/>
        </w:rPr>
        <w:t>Le suivi du portefeuille et du résultat financier réel et comptable fait l’objet de</w:t>
      </w:r>
      <w:r w:rsidRPr="00A83B39">
        <w:rPr>
          <w:color w:val="000000"/>
          <w:sz w:val="24"/>
          <w:szCs w:val="24"/>
        </w:rPr>
        <w:t xml:space="preserve"> </w:t>
      </w:r>
      <w:proofErr w:type="spellStart"/>
      <w:r w:rsidRPr="00A83B39">
        <w:rPr>
          <w:b/>
          <w:bCs/>
          <w:color w:val="000000"/>
          <w:sz w:val="24"/>
          <w:szCs w:val="24"/>
        </w:rPr>
        <w:t>reportings</w:t>
      </w:r>
      <w:proofErr w:type="spellEnd"/>
      <w:r w:rsidRPr="00A83B39">
        <w:rPr>
          <w:color w:val="000000"/>
          <w:sz w:val="24"/>
          <w:szCs w:val="24"/>
        </w:rPr>
        <w:t>. Ceux-ci peuvent être élaborés soit par le contrôle de gestion soit directement par les directions financières.</w:t>
      </w:r>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37" w:name="_Toc351126758"/>
      <w:r w:rsidRPr="00A83B39">
        <w:rPr>
          <w:sz w:val="28"/>
        </w:rPr>
        <w:t>Ratios sur les résultats</w:t>
      </w:r>
      <w:bookmarkEnd w:id="37"/>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Les ratios évoqués dans la partie non vie peuvent être également utilisés en l’assurance vie. Toutefois, le ROE est à interpréter avec prudence en raison de l’existence de cycles longs qui font que </w:t>
      </w:r>
      <w:r w:rsidRPr="00A83B39">
        <w:rPr>
          <w:b/>
          <w:bCs/>
          <w:color w:val="000000"/>
          <w:sz w:val="24"/>
          <w:szCs w:val="24"/>
        </w:rPr>
        <w:t>la rentabilité doit être mesurée dans une logique de long terme</w:t>
      </w:r>
      <w:r w:rsidRPr="00A83B39">
        <w:rPr>
          <w:color w:val="000000"/>
          <w:sz w:val="24"/>
          <w:szCs w:val="24"/>
        </w:rPr>
        <w:t>. Ceci suppose donc l’utilisation d’outils de mesure de la rentabilité à long terme adéquats.</w:t>
      </w:r>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pStyle w:val="ListParagraph"/>
        <w:numPr>
          <w:ilvl w:val="0"/>
          <w:numId w:val="12"/>
        </w:numPr>
        <w:ind w:left="357" w:hanging="357"/>
        <w:contextualSpacing w:val="0"/>
        <w:outlineLvl w:val="1"/>
        <w:rPr>
          <w:sz w:val="28"/>
        </w:rPr>
      </w:pPr>
      <w:bookmarkStart w:id="38" w:name="_Toc351126759"/>
      <w:bookmarkStart w:id="39" w:name="NGCK3"/>
      <w:r w:rsidRPr="00A83B39">
        <w:rPr>
          <w:sz w:val="28"/>
        </w:rPr>
        <w:t>Les ratios prudentiels</w:t>
      </w:r>
      <w:bookmarkEnd w:id="38"/>
    </w:p>
    <w:p w:rsidR="00806FB8" w:rsidRPr="00A83B39" w:rsidRDefault="00806FB8" w:rsidP="00806FB8"/>
    <w:p w:rsidR="00806FB8" w:rsidRPr="00A83B39" w:rsidRDefault="00806FB8" w:rsidP="00806FB8">
      <w:pPr>
        <w:pStyle w:val="ListParagraph"/>
        <w:numPr>
          <w:ilvl w:val="1"/>
          <w:numId w:val="12"/>
        </w:numPr>
        <w:ind w:left="788" w:hanging="431"/>
        <w:contextualSpacing w:val="0"/>
        <w:outlineLvl w:val="2"/>
        <w:rPr>
          <w:sz w:val="28"/>
        </w:rPr>
      </w:pPr>
      <w:bookmarkStart w:id="40" w:name="_Toc351126760"/>
      <w:r w:rsidRPr="00A83B39">
        <w:rPr>
          <w:sz w:val="28"/>
        </w:rPr>
        <w:t>Le rapport de solvabilité</w:t>
      </w:r>
      <w:bookmarkEnd w:id="40"/>
    </w:p>
    <w:bookmarkEnd w:id="39"/>
    <w:p w:rsidR="00806FB8" w:rsidRPr="00A83B39" w:rsidRDefault="00806FB8" w:rsidP="00806FB8"/>
    <w:p w:rsidR="00806FB8" w:rsidRPr="00A83B39" w:rsidRDefault="00806FB8" w:rsidP="00806FB8">
      <w:pPr>
        <w:rPr>
          <w:sz w:val="24"/>
          <w:szCs w:val="24"/>
        </w:rPr>
      </w:pPr>
      <w:r w:rsidRPr="00A83B39">
        <w:rPr>
          <w:sz w:val="24"/>
          <w:szCs w:val="24"/>
        </w:rPr>
        <w:lastRenderedPageBreak/>
        <w:t>Le rapport de solvabilité est pour l'entreprise d'assurance un outil permettant de détailler l'état de sa solvabilité. Ce rapport met véritablement en jeu la compétence des dirigeants de l'organisme.</w:t>
      </w:r>
    </w:p>
    <w:p w:rsidR="00806FB8" w:rsidRPr="00A83B39" w:rsidRDefault="00806FB8" w:rsidP="00806FB8"/>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41" w:name="_Toc351126761"/>
      <w:r w:rsidRPr="00A83B39">
        <w:rPr>
          <w:sz w:val="28"/>
        </w:rPr>
        <w:t>Présentation</w:t>
      </w:r>
      <w:bookmarkEnd w:id="41"/>
    </w:p>
    <w:p w:rsidR="00806FB8" w:rsidRPr="00A83B39" w:rsidRDefault="00806FB8" w:rsidP="00806FB8"/>
    <w:p w:rsidR="00806FB8" w:rsidRPr="00A83B39" w:rsidRDefault="00806FB8" w:rsidP="00806FB8">
      <w:r w:rsidRPr="00A83B39">
        <w:t>L’obligation d’établir un rapport de solvabilité est réglementaire.</w:t>
      </w:r>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rPr>
        <w:t>Celui-ci doit indiquer pourquoi, indépendamment de l’application de toute réglementation, l’entreprise est solvable et le restera.</w:t>
      </w:r>
    </w:p>
    <w:p w:rsidR="00806FB8" w:rsidRPr="00A83B39" w:rsidRDefault="00806FB8" w:rsidP="00806FB8">
      <w:pPr>
        <w:rPr>
          <w:sz w:val="24"/>
          <w:szCs w:val="24"/>
        </w:rPr>
      </w:pPr>
      <w:r w:rsidRPr="00A83B39">
        <w:rPr>
          <w:sz w:val="24"/>
          <w:szCs w:val="24"/>
        </w:rPr>
        <w:t>En particulier :</w:t>
      </w:r>
    </w:p>
    <w:p w:rsidR="00806FB8" w:rsidRPr="00A83B39" w:rsidRDefault="00806FB8" w:rsidP="00806FB8">
      <w:pPr>
        <w:numPr>
          <w:ilvl w:val="0"/>
          <w:numId w:val="43"/>
        </w:numPr>
        <w:rPr>
          <w:sz w:val="24"/>
          <w:szCs w:val="24"/>
        </w:rPr>
      </w:pPr>
      <w:r w:rsidRPr="00A83B39">
        <w:rPr>
          <w:sz w:val="24"/>
          <w:szCs w:val="24"/>
        </w:rPr>
        <w:t xml:space="preserve">Une </w:t>
      </w:r>
      <w:r w:rsidRPr="00A83B39">
        <w:rPr>
          <w:b/>
          <w:sz w:val="24"/>
          <w:szCs w:val="24"/>
          <w:u w:val="single"/>
        </w:rPr>
        <w:t>approche prospective</w:t>
      </w:r>
      <w:r w:rsidRPr="00A83B39">
        <w:rPr>
          <w:sz w:val="24"/>
          <w:szCs w:val="24"/>
        </w:rPr>
        <w:t xml:space="preserve"> est indispensable : « analyse des conditions dans lesquelles l’entreprise est en mesure, à moyen et long terme, de faire face à l’ensemble de ses engagements » </w:t>
      </w:r>
    </w:p>
    <w:p w:rsidR="00806FB8" w:rsidRPr="00A83B39" w:rsidRDefault="00806FB8" w:rsidP="00806FB8">
      <w:pPr>
        <w:numPr>
          <w:ilvl w:val="0"/>
          <w:numId w:val="43"/>
        </w:numPr>
        <w:rPr>
          <w:sz w:val="24"/>
          <w:szCs w:val="24"/>
        </w:rPr>
      </w:pPr>
      <w:r w:rsidRPr="00A83B39">
        <w:rPr>
          <w:sz w:val="24"/>
          <w:szCs w:val="24"/>
        </w:rPr>
        <w:t>L’attestation du respect de la réglementation (provisions techniques, couverture, marge) n’est pas suffisante.</w:t>
      </w:r>
    </w:p>
    <w:p w:rsidR="00806FB8" w:rsidRPr="00A83B39" w:rsidRDefault="00806FB8" w:rsidP="00806FB8">
      <w:pPr>
        <w:ind w:left="360"/>
        <w:rPr>
          <w:sz w:val="24"/>
          <w:szCs w:val="24"/>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42" w:name="_Toc351126762"/>
      <w:r w:rsidRPr="00A83B39">
        <w:rPr>
          <w:sz w:val="28"/>
        </w:rPr>
        <w:t>Informations devant être mentionnées dans le rapport de solvabilité</w:t>
      </w:r>
      <w:bookmarkEnd w:id="42"/>
      <w:r w:rsidRPr="00A83B39">
        <w:rPr>
          <w:sz w:val="28"/>
        </w:rPr>
        <w:t xml:space="preserve"> </w:t>
      </w:r>
    </w:p>
    <w:p w:rsidR="00806FB8" w:rsidRPr="00A83B39" w:rsidRDefault="00806FB8" w:rsidP="00806FB8">
      <w:pPr>
        <w:pStyle w:val="Heading4"/>
        <w:numPr>
          <w:ilvl w:val="0"/>
          <w:numId w:val="0"/>
        </w:numPr>
        <w:jc w:val="both"/>
        <w:rPr>
          <w:rFonts w:ascii="Times New Roman" w:hAnsi="Times New Roman"/>
          <w:sz w:val="24"/>
          <w:szCs w:val="24"/>
        </w:rPr>
      </w:pPr>
      <w:bookmarkStart w:id="43" w:name="_Toc351126763"/>
      <w:r w:rsidRPr="00A83B39">
        <w:rPr>
          <w:rFonts w:ascii="Times New Roman" w:hAnsi="Times New Roman"/>
          <w:sz w:val="24"/>
          <w:szCs w:val="24"/>
        </w:rPr>
        <w:t>Informations précises visées par la réglementation :</w:t>
      </w:r>
      <w:bookmarkEnd w:id="43"/>
    </w:p>
    <w:p w:rsidR="00806FB8" w:rsidRPr="00A83B39" w:rsidRDefault="00806FB8" w:rsidP="00806FB8">
      <w:pPr>
        <w:pStyle w:val="Acontrler"/>
        <w:rPr>
          <w:rFonts w:ascii="Times New Roman" w:hAnsi="Times New Roman"/>
          <w:sz w:val="24"/>
          <w:szCs w:val="24"/>
        </w:rPr>
      </w:pPr>
      <w:r w:rsidRPr="00A83B39">
        <w:rPr>
          <w:rFonts w:ascii="Times New Roman" w:hAnsi="Times New Roman"/>
          <w:sz w:val="24"/>
          <w:szCs w:val="24"/>
        </w:rPr>
        <w:t>Provisions techniques : les modalités de calcul et les hypothèses retenues doivent être explicitées et justifiées.</w:t>
      </w:r>
    </w:p>
    <w:p w:rsidR="00806FB8" w:rsidRPr="00A83B39" w:rsidRDefault="00806FB8" w:rsidP="00806FB8">
      <w:pPr>
        <w:pStyle w:val="Acontrler"/>
        <w:rPr>
          <w:rFonts w:ascii="Times New Roman" w:hAnsi="Times New Roman"/>
          <w:sz w:val="24"/>
          <w:szCs w:val="24"/>
        </w:rPr>
      </w:pPr>
      <w:bookmarkStart w:id="44" w:name="_Hlt524393798"/>
      <w:bookmarkEnd w:id="44"/>
      <w:r w:rsidRPr="00A83B39">
        <w:rPr>
          <w:rFonts w:ascii="Times New Roman" w:hAnsi="Times New Roman"/>
          <w:sz w:val="24"/>
          <w:szCs w:val="24"/>
        </w:rPr>
        <w:t>Orientations définies en matière de placements.</w:t>
      </w:r>
      <w:bookmarkStart w:id="45" w:name="_Hlt524394129"/>
      <w:bookmarkEnd w:id="45"/>
    </w:p>
    <w:p w:rsidR="00806FB8" w:rsidRPr="00A83B39" w:rsidRDefault="00806FB8" w:rsidP="00806FB8">
      <w:pPr>
        <w:pStyle w:val="Acontrler"/>
        <w:rPr>
          <w:rFonts w:ascii="Times New Roman" w:hAnsi="Times New Roman"/>
          <w:sz w:val="24"/>
          <w:szCs w:val="24"/>
        </w:rPr>
      </w:pPr>
      <w:r w:rsidRPr="00A83B39">
        <w:rPr>
          <w:rFonts w:ascii="Times New Roman" w:hAnsi="Times New Roman"/>
          <w:sz w:val="24"/>
          <w:szCs w:val="24"/>
        </w:rPr>
        <w:t>Présentation et analyse des résultats.</w:t>
      </w:r>
    </w:p>
    <w:p w:rsidR="00806FB8" w:rsidRPr="00A83B39" w:rsidRDefault="00806FB8" w:rsidP="00806FB8">
      <w:pPr>
        <w:pStyle w:val="Acontrler"/>
        <w:rPr>
          <w:rFonts w:ascii="Times New Roman" w:hAnsi="Times New Roman"/>
          <w:sz w:val="24"/>
          <w:szCs w:val="24"/>
        </w:rPr>
      </w:pPr>
      <w:r w:rsidRPr="00A83B39">
        <w:rPr>
          <w:rFonts w:ascii="Times New Roman" w:hAnsi="Times New Roman"/>
          <w:sz w:val="24"/>
          <w:szCs w:val="24"/>
        </w:rPr>
        <w:t>Marge de solvabilité (état C6).</w:t>
      </w:r>
    </w:p>
    <w:p w:rsidR="00806FB8" w:rsidRPr="00A83B39" w:rsidRDefault="00806FB8" w:rsidP="00806FB8">
      <w:pPr>
        <w:pStyle w:val="Heading4"/>
        <w:numPr>
          <w:ilvl w:val="0"/>
          <w:numId w:val="0"/>
        </w:numPr>
        <w:jc w:val="both"/>
        <w:rPr>
          <w:rFonts w:ascii="Times New Roman" w:hAnsi="Times New Roman"/>
          <w:sz w:val="24"/>
          <w:szCs w:val="24"/>
        </w:rPr>
      </w:pPr>
      <w:bookmarkStart w:id="46" w:name="_Toc351126764"/>
      <w:r w:rsidRPr="00A83B39">
        <w:rPr>
          <w:rFonts w:ascii="Times New Roman" w:hAnsi="Times New Roman"/>
          <w:sz w:val="24"/>
          <w:szCs w:val="24"/>
        </w:rPr>
        <w:t>Autres informations nécessaires :</w:t>
      </w:r>
      <w:bookmarkEnd w:id="46"/>
    </w:p>
    <w:p w:rsidR="00806FB8" w:rsidRPr="00A83B39" w:rsidRDefault="00806FB8" w:rsidP="00806FB8">
      <w:pPr>
        <w:pStyle w:val="Acontrler"/>
        <w:rPr>
          <w:rFonts w:ascii="Times New Roman" w:hAnsi="Times New Roman"/>
          <w:sz w:val="24"/>
          <w:szCs w:val="24"/>
        </w:rPr>
      </w:pPr>
      <w:r w:rsidRPr="00A83B39">
        <w:rPr>
          <w:rFonts w:ascii="Times New Roman" w:hAnsi="Times New Roman"/>
          <w:sz w:val="24"/>
          <w:szCs w:val="24"/>
        </w:rPr>
        <w:t>Couverture des engagements réglementés (état C5).</w:t>
      </w:r>
    </w:p>
    <w:p w:rsidR="00806FB8" w:rsidRPr="00A83B39" w:rsidRDefault="00806FB8" w:rsidP="00806FB8">
      <w:pPr>
        <w:pStyle w:val="Acontrler"/>
        <w:rPr>
          <w:rFonts w:ascii="Times New Roman" w:hAnsi="Times New Roman"/>
          <w:sz w:val="24"/>
          <w:szCs w:val="24"/>
        </w:rPr>
      </w:pPr>
      <w:r w:rsidRPr="00A83B39">
        <w:rPr>
          <w:rFonts w:ascii="Times New Roman" w:hAnsi="Times New Roman"/>
          <w:sz w:val="24"/>
          <w:szCs w:val="24"/>
        </w:rPr>
        <w:t>Analyse actif-passif.</w:t>
      </w:r>
    </w:p>
    <w:p w:rsidR="00806FB8" w:rsidRPr="00A83B39" w:rsidRDefault="00806FB8" w:rsidP="00806FB8">
      <w:pPr>
        <w:pStyle w:val="Acontrler"/>
        <w:rPr>
          <w:rFonts w:ascii="Times New Roman" w:hAnsi="Times New Roman"/>
          <w:sz w:val="24"/>
          <w:szCs w:val="24"/>
        </w:rPr>
      </w:pPr>
      <w:r w:rsidRPr="00A83B39">
        <w:rPr>
          <w:rFonts w:ascii="Times New Roman" w:hAnsi="Times New Roman"/>
          <w:sz w:val="24"/>
          <w:szCs w:val="24"/>
        </w:rPr>
        <w:t>Politique de souscription (risques souscrits, risques refusés), tarification et réassurance.</w:t>
      </w:r>
    </w:p>
    <w:p w:rsidR="00806FB8" w:rsidRPr="00A83B39" w:rsidRDefault="00806FB8" w:rsidP="00806FB8">
      <w:pPr>
        <w:pStyle w:val="Acontrler"/>
        <w:rPr>
          <w:rFonts w:ascii="Times New Roman" w:hAnsi="Times New Roman"/>
          <w:sz w:val="24"/>
          <w:szCs w:val="24"/>
        </w:rPr>
      </w:pPr>
      <w:r w:rsidRPr="00A83B39">
        <w:rPr>
          <w:rFonts w:ascii="Times New Roman" w:hAnsi="Times New Roman"/>
          <w:sz w:val="24"/>
          <w:szCs w:val="24"/>
        </w:rPr>
        <w:t>Équilibre technique prévisionnel.</w:t>
      </w:r>
    </w:p>
    <w:p w:rsidR="00806FB8" w:rsidRPr="00A83B39" w:rsidRDefault="00806FB8" w:rsidP="00806FB8">
      <w:pPr>
        <w:pStyle w:val="Acontrler"/>
        <w:rPr>
          <w:rFonts w:ascii="Times New Roman" w:hAnsi="Times New Roman"/>
          <w:sz w:val="24"/>
          <w:szCs w:val="24"/>
        </w:rPr>
      </w:pPr>
      <w:r w:rsidRPr="00A83B39">
        <w:rPr>
          <w:rFonts w:ascii="Times New Roman" w:hAnsi="Times New Roman"/>
          <w:sz w:val="24"/>
          <w:szCs w:val="24"/>
        </w:rPr>
        <w:t>Évolution prévisible de la marge et de la couverture. Appréciation du caractère suffisant de la marge et des provisions techniques pour faire face aux situations très défavorables (sinistres exceptionnels, krach boursier).</w:t>
      </w:r>
    </w:p>
    <w:p w:rsidR="00806FB8" w:rsidRPr="00A83B39" w:rsidRDefault="00806FB8" w:rsidP="00806FB8">
      <w:pPr>
        <w:pStyle w:val="Acontrler"/>
        <w:numPr>
          <w:ilvl w:val="0"/>
          <w:numId w:val="0"/>
        </w:numPr>
        <w:ind w:left="720"/>
      </w:pPr>
    </w:p>
    <w:p w:rsidR="00806FB8" w:rsidRPr="00A83B39" w:rsidRDefault="00806FB8" w:rsidP="00806FB8">
      <w:pPr>
        <w:pStyle w:val="ListParagraph"/>
        <w:numPr>
          <w:ilvl w:val="1"/>
          <w:numId w:val="12"/>
        </w:numPr>
        <w:ind w:left="788" w:hanging="431"/>
        <w:contextualSpacing w:val="0"/>
        <w:outlineLvl w:val="2"/>
        <w:rPr>
          <w:sz w:val="28"/>
        </w:rPr>
      </w:pPr>
      <w:bookmarkStart w:id="47" w:name="_Toc351126765"/>
      <w:r w:rsidRPr="00A83B39">
        <w:rPr>
          <w:sz w:val="28"/>
        </w:rPr>
        <w:t>Conséquences d’un non-respect</w:t>
      </w:r>
      <w:bookmarkEnd w:id="47"/>
    </w:p>
    <w:p w:rsidR="00806FB8" w:rsidRPr="00A83B39" w:rsidRDefault="00806FB8" w:rsidP="00806FB8">
      <w:pPr>
        <w:pStyle w:val="ListParagraph"/>
        <w:autoSpaceDE w:val="0"/>
        <w:autoSpaceDN w:val="0"/>
        <w:adjustRightInd w:val="0"/>
        <w:ind w:left="792"/>
        <w:jc w:val="left"/>
        <w:rPr>
          <w:sz w:val="28"/>
        </w:rPr>
      </w:pPr>
    </w:p>
    <w:p w:rsidR="00806FB8" w:rsidRPr="00A83B39" w:rsidRDefault="00806FB8" w:rsidP="00806FB8">
      <w:pPr>
        <w:rPr>
          <w:sz w:val="24"/>
          <w:szCs w:val="24"/>
        </w:rPr>
      </w:pPr>
      <w:r w:rsidRPr="00A83B39">
        <w:rPr>
          <w:sz w:val="24"/>
          <w:szCs w:val="24"/>
        </w:rPr>
        <w:t>Lorsque le rapport de solvabilité est mal fait, cela peut être considéré comme une preuve d’incompétence des dirigeants chargés de l’établir, et par conséquent comme un motif pour leur interdire d’exercer.</w:t>
      </w:r>
    </w:p>
    <w:p w:rsidR="00806FB8" w:rsidRPr="00A83B39" w:rsidRDefault="00806FB8" w:rsidP="00806FB8">
      <w:pPr>
        <w:rPr>
          <w:sz w:val="24"/>
          <w:szCs w:val="24"/>
        </w:rPr>
      </w:pPr>
      <w:r w:rsidRPr="00A83B39">
        <w:rPr>
          <w:sz w:val="24"/>
          <w:szCs w:val="24"/>
        </w:rPr>
        <w:t>Dans le cas d’une mutuelle, le code de la ou mutualité prévoit même des peines d’emprisonnement et d’amende pour tout administrateur.</w:t>
      </w:r>
    </w:p>
    <w:p w:rsidR="00806FB8" w:rsidRPr="00A83B39" w:rsidRDefault="00806FB8" w:rsidP="00806FB8">
      <w:pPr>
        <w:pStyle w:val="ListParagraph"/>
        <w:numPr>
          <w:ilvl w:val="1"/>
          <w:numId w:val="12"/>
        </w:numPr>
        <w:ind w:left="788" w:hanging="431"/>
        <w:contextualSpacing w:val="0"/>
        <w:outlineLvl w:val="2"/>
        <w:rPr>
          <w:sz w:val="28"/>
        </w:rPr>
      </w:pPr>
      <w:r w:rsidRPr="00A83B39">
        <w:br w:type="page"/>
      </w:r>
      <w:bookmarkStart w:id="48" w:name="_Toc351126766"/>
      <w:bookmarkStart w:id="49" w:name="NGCK2"/>
      <w:r w:rsidRPr="00A83B39">
        <w:rPr>
          <w:sz w:val="28"/>
        </w:rPr>
        <w:lastRenderedPageBreak/>
        <w:t>La représentation des engagements réglementés</w:t>
      </w:r>
      <w:bookmarkEnd w:id="48"/>
    </w:p>
    <w:p w:rsidR="00806FB8" w:rsidRPr="00A83B39" w:rsidRDefault="00806FB8" w:rsidP="00806FB8">
      <w:pPr>
        <w:rPr>
          <w:sz w:val="16"/>
          <w:szCs w:val="16"/>
        </w:rPr>
      </w:pPr>
    </w:p>
    <w:p w:rsidR="00806FB8" w:rsidRPr="00A83B39" w:rsidRDefault="00806FB8" w:rsidP="00806FB8">
      <w:pPr>
        <w:rPr>
          <w:sz w:val="24"/>
          <w:szCs w:val="24"/>
        </w:rPr>
      </w:pPr>
      <w:r w:rsidRPr="00A83B39">
        <w:rPr>
          <w:sz w:val="24"/>
          <w:szCs w:val="24"/>
        </w:rPr>
        <w:t>La représentation des engagements réglementés (ER) est le deuxième pilier réglementaire de la solvabilité statique, après la constitution de provisions techniques suffisantes et avant la marge de solvabilité. Les engagements réglementés doivent être couverts (ou représentés) à tout instant par des actifs « liquides, sûrs et rentables », afin d'assurer le règlement intégral des engagements.</w:t>
      </w:r>
    </w:p>
    <w:p w:rsidR="00806FB8" w:rsidRPr="00A83B39" w:rsidRDefault="00806FB8" w:rsidP="00806FB8"/>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50" w:name="_Toc351126767"/>
      <w:r w:rsidRPr="00A83B39">
        <w:rPr>
          <w:sz w:val="28"/>
        </w:rPr>
        <w:t>Présentation de la réglementation</w:t>
      </w:r>
      <w:bookmarkEnd w:id="50"/>
    </w:p>
    <w:p w:rsidR="00806FB8" w:rsidRPr="00A83B39" w:rsidRDefault="00806FB8" w:rsidP="00806FB8">
      <w:pPr>
        <w:rPr>
          <w:sz w:val="16"/>
          <w:szCs w:val="16"/>
        </w:rPr>
      </w:pPr>
    </w:p>
    <w:p w:rsidR="00806FB8" w:rsidRPr="00A83B39" w:rsidRDefault="00806FB8" w:rsidP="00806FB8">
      <w:pPr>
        <w:rPr>
          <w:sz w:val="24"/>
          <w:szCs w:val="24"/>
        </w:rPr>
      </w:pPr>
      <w:r w:rsidRPr="00A83B39">
        <w:rPr>
          <w:sz w:val="24"/>
          <w:szCs w:val="24"/>
        </w:rPr>
        <w:t xml:space="preserve">Les assurés et bénéficiaires de contrats bénéficient d'un privilège général sur l'actif (mobilier et immobilier) des sociétés d'assurance. La détermination des engagements réglementés à couvrir tient compte de l'existence de privilèges primant celui des assurés (dettes fiscales, …).  </w:t>
      </w:r>
    </w:p>
    <w:p w:rsidR="00806FB8" w:rsidRPr="00A83B39" w:rsidRDefault="00806FB8" w:rsidP="00806FB8">
      <w:pPr>
        <w:rPr>
          <w:sz w:val="24"/>
          <w:szCs w:val="24"/>
        </w:rPr>
      </w:pPr>
      <w:r w:rsidRPr="00A83B39">
        <w:rPr>
          <w:sz w:val="24"/>
          <w:szCs w:val="24"/>
        </w:rPr>
        <w:t>La liste des engagements réglementés est fixée par le code des assurances : les engagements réglementés sont constitués des provisions techniques, des dettes plus privilégiées de l’assureur (vis-à-vis de l’État, des salariés et des assurés) et de quelques autres passifs.</w:t>
      </w:r>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rPr>
        <w:t>La représentation s’examine brute de réassurance - dans un deuxième temps, on tient compte des créances sur les réassureurs dans la mesure où elles sont garanties.</w:t>
      </w:r>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rPr>
        <w:t xml:space="preserve">Les actifs admis en représentation sont listés par le code des assurances. N’est admissible que la part des actifs qui </w:t>
      </w:r>
      <w:proofErr w:type="gramStart"/>
      <w:r w:rsidRPr="00A83B39">
        <w:rPr>
          <w:sz w:val="24"/>
          <w:szCs w:val="24"/>
        </w:rPr>
        <w:t>respecte</w:t>
      </w:r>
      <w:proofErr w:type="gramEnd"/>
      <w:r w:rsidRPr="00A83B39">
        <w:rPr>
          <w:sz w:val="24"/>
          <w:szCs w:val="24"/>
        </w:rPr>
        <w:t xml:space="preserve"> des règles de dispersion. Par ailleurs, certains éléments d'actif font l'objet d'une réglementation particulière.</w:t>
      </w:r>
    </w:p>
    <w:p w:rsidR="00806FB8" w:rsidRPr="00A83B39" w:rsidRDefault="00806FB8" w:rsidP="00806FB8">
      <w:pPr>
        <w:rPr>
          <w:sz w:val="24"/>
          <w:szCs w:val="24"/>
        </w:rPr>
      </w:pPr>
      <w:r w:rsidRPr="00A83B39">
        <w:rPr>
          <w:sz w:val="24"/>
          <w:szCs w:val="24"/>
        </w:rPr>
        <w:t>Enfin, les actifs doivent être congruents (c’est-à-dire libellés ou réalisables dans la même monnaie que les engagements) mais il existe une dérogation large, à hauteur de 20 % des engagements.</w:t>
      </w:r>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rPr>
        <w:t>Deux principes sont très importants :</w:t>
      </w:r>
    </w:p>
    <w:p w:rsidR="00806FB8" w:rsidRPr="00A83B39" w:rsidRDefault="00806FB8" w:rsidP="00806FB8">
      <w:pPr>
        <w:numPr>
          <w:ilvl w:val="0"/>
          <w:numId w:val="46"/>
        </w:numPr>
        <w:rPr>
          <w:sz w:val="24"/>
          <w:szCs w:val="24"/>
        </w:rPr>
      </w:pPr>
      <w:r w:rsidRPr="00A83B39">
        <w:rPr>
          <w:sz w:val="24"/>
          <w:szCs w:val="24"/>
        </w:rPr>
        <w:t xml:space="preserve">Les actifs admissibles en représentation sont </w:t>
      </w:r>
      <w:r w:rsidRPr="00A83B39">
        <w:rPr>
          <w:sz w:val="24"/>
          <w:szCs w:val="24"/>
          <w:u w:val="single"/>
        </w:rPr>
        <w:t>nets</w:t>
      </w:r>
      <w:r w:rsidRPr="00A83B39">
        <w:rPr>
          <w:sz w:val="24"/>
          <w:szCs w:val="24"/>
        </w:rPr>
        <w:t xml:space="preserve"> des dettes contractées pour les acquérir (ex : immeubles financés sur emprunts avec hypothèque, titres donnés en pension, etc.).</w:t>
      </w:r>
    </w:p>
    <w:p w:rsidR="00806FB8" w:rsidRPr="00A83B39" w:rsidRDefault="00806FB8" w:rsidP="00806FB8">
      <w:pPr>
        <w:numPr>
          <w:ilvl w:val="0"/>
          <w:numId w:val="46"/>
        </w:numPr>
        <w:rPr>
          <w:sz w:val="24"/>
          <w:szCs w:val="24"/>
        </w:rPr>
      </w:pPr>
      <w:r w:rsidRPr="00A83B39">
        <w:rPr>
          <w:sz w:val="24"/>
          <w:szCs w:val="24"/>
        </w:rPr>
        <w:t>Les actifs donnés en garantie d’un engagement particulier ne peuvent couvrir que cet engagement.</w:t>
      </w:r>
    </w:p>
    <w:p w:rsidR="00806FB8" w:rsidRPr="00A83B39" w:rsidRDefault="00806FB8" w:rsidP="00806FB8">
      <w:pPr>
        <w:rPr>
          <w:sz w:val="16"/>
          <w:szCs w:val="16"/>
        </w:rPr>
      </w:pPr>
    </w:p>
    <w:p w:rsidR="00806FB8" w:rsidRPr="00A83B39" w:rsidRDefault="00806FB8" w:rsidP="00806FB8">
      <w:pPr>
        <w:rPr>
          <w:sz w:val="16"/>
          <w:szCs w:val="16"/>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51" w:name="_Toc351126768"/>
      <w:r w:rsidRPr="00A83B39">
        <w:rPr>
          <w:sz w:val="28"/>
        </w:rPr>
        <w:t>Conséquences d’un non-respect</w:t>
      </w:r>
      <w:bookmarkEnd w:id="51"/>
    </w:p>
    <w:p w:rsidR="00806FB8" w:rsidRPr="00A83B39" w:rsidRDefault="00806FB8" w:rsidP="00806FB8">
      <w:pPr>
        <w:pStyle w:val="ListParagraph"/>
        <w:autoSpaceDE w:val="0"/>
        <w:autoSpaceDN w:val="0"/>
        <w:adjustRightInd w:val="0"/>
        <w:ind w:left="1224"/>
        <w:rPr>
          <w:sz w:val="24"/>
          <w:szCs w:val="24"/>
        </w:rPr>
      </w:pPr>
    </w:p>
    <w:p w:rsidR="00806FB8" w:rsidRPr="00A83B39" w:rsidRDefault="00806FB8" w:rsidP="00806FB8">
      <w:pPr>
        <w:rPr>
          <w:sz w:val="24"/>
          <w:szCs w:val="24"/>
        </w:rPr>
      </w:pPr>
      <w:r w:rsidRPr="00A83B39">
        <w:rPr>
          <w:sz w:val="24"/>
          <w:szCs w:val="24"/>
        </w:rPr>
        <w:t>Un organisme présentant un défaut de couverture doit mettre en place des mesures de redressement rapides et suffisantes. La non-représentation des engagements est une observation importante ; l’ACP peut mettre en œuvre des mesures de sauvegarde et d’assainissement lorsque les intérêts des assurés sont compromis ou susceptibles de l’être.</w:t>
      </w:r>
    </w:p>
    <w:p w:rsidR="00806FB8" w:rsidRPr="00A83B39" w:rsidRDefault="00806FB8" w:rsidP="00806FB8">
      <w:pPr>
        <w:rPr>
          <w:sz w:val="24"/>
          <w:szCs w:val="24"/>
        </w:rPr>
      </w:pPr>
      <w:r w:rsidRPr="00A83B39">
        <w:rPr>
          <w:sz w:val="24"/>
          <w:szCs w:val="24"/>
        </w:rPr>
        <w:t xml:space="preserve">De plus, les dirigeants peuvent faire l’objet de sanctions judiciaires. </w:t>
      </w:r>
    </w:p>
    <w:p w:rsidR="00806FB8" w:rsidRPr="00A83B39" w:rsidRDefault="00806FB8" w:rsidP="00806FB8">
      <w:pPr>
        <w:rPr>
          <w:sz w:val="24"/>
          <w:szCs w:val="24"/>
        </w:rPr>
      </w:pPr>
    </w:p>
    <w:p w:rsidR="00806FB8" w:rsidRPr="00A83B39" w:rsidRDefault="00806FB8" w:rsidP="00806FB8">
      <w:pPr>
        <w:pStyle w:val="ListParagraph"/>
        <w:numPr>
          <w:ilvl w:val="1"/>
          <w:numId w:val="12"/>
        </w:numPr>
        <w:ind w:left="788" w:hanging="431"/>
        <w:contextualSpacing w:val="0"/>
        <w:outlineLvl w:val="2"/>
        <w:rPr>
          <w:sz w:val="28"/>
        </w:rPr>
      </w:pPr>
      <w:bookmarkStart w:id="52" w:name="_Toc351126769"/>
      <w:r w:rsidRPr="00A83B39">
        <w:rPr>
          <w:sz w:val="28"/>
        </w:rPr>
        <w:t>La marge de solvabilité</w:t>
      </w:r>
      <w:bookmarkEnd w:id="52"/>
    </w:p>
    <w:bookmarkEnd w:id="49"/>
    <w:p w:rsidR="00806FB8" w:rsidRPr="00A83B39" w:rsidRDefault="00806FB8" w:rsidP="00806FB8"/>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53" w:name="_Toc351126770"/>
      <w:r w:rsidRPr="00A83B39">
        <w:rPr>
          <w:sz w:val="28"/>
        </w:rPr>
        <w:t>Présentation</w:t>
      </w:r>
      <w:bookmarkEnd w:id="53"/>
    </w:p>
    <w:p w:rsidR="00806FB8" w:rsidRPr="00A83B39" w:rsidRDefault="00806FB8" w:rsidP="00806FB8">
      <w:pPr>
        <w:pStyle w:val="ListParagraph"/>
        <w:autoSpaceDE w:val="0"/>
        <w:autoSpaceDN w:val="0"/>
        <w:adjustRightInd w:val="0"/>
        <w:ind w:left="1224"/>
        <w:jc w:val="left"/>
        <w:rPr>
          <w:sz w:val="28"/>
        </w:rPr>
      </w:pPr>
    </w:p>
    <w:p w:rsidR="00806FB8" w:rsidRPr="00A83B39" w:rsidRDefault="00806FB8" w:rsidP="00806FB8">
      <w:pPr>
        <w:rPr>
          <w:sz w:val="24"/>
          <w:szCs w:val="24"/>
        </w:rPr>
      </w:pPr>
      <w:r w:rsidRPr="00A83B39">
        <w:rPr>
          <w:sz w:val="24"/>
          <w:szCs w:val="24"/>
        </w:rPr>
        <w:t>La réglementation concernant la marge de solvabilité, appelée « solvabilité I », est entrée en vigueur le 1</w:t>
      </w:r>
      <w:r w:rsidRPr="00A83B39">
        <w:rPr>
          <w:sz w:val="24"/>
          <w:szCs w:val="24"/>
          <w:vertAlign w:val="superscript"/>
        </w:rPr>
        <w:t>er</w:t>
      </w:r>
      <w:r w:rsidRPr="00A83B39">
        <w:rPr>
          <w:sz w:val="24"/>
          <w:szCs w:val="24"/>
        </w:rPr>
        <w:t xml:space="preserve"> janvier 2004.</w:t>
      </w:r>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rPr>
        <w:t xml:space="preserve">Les organismes doivent disposer </w:t>
      </w:r>
      <w:r w:rsidRPr="00A83B39">
        <w:rPr>
          <w:sz w:val="24"/>
          <w:szCs w:val="24"/>
          <w:u w:val="single"/>
        </w:rPr>
        <w:t>à tout moment</w:t>
      </w:r>
      <w:r w:rsidRPr="00A83B39">
        <w:rPr>
          <w:sz w:val="24"/>
          <w:szCs w:val="24"/>
        </w:rPr>
        <w:t xml:space="preserve"> d’un montant d’</w:t>
      </w:r>
      <w:r w:rsidRPr="00A83B39">
        <w:rPr>
          <w:sz w:val="24"/>
          <w:szCs w:val="24"/>
          <w:u w:val="single"/>
        </w:rPr>
        <w:t>éléments constitutifs</w:t>
      </w:r>
      <w:r w:rsidRPr="00A83B39">
        <w:rPr>
          <w:sz w:val="24"/>
          <w:szCs w:val="24"/>
        </w:rPr>
        <w:t xml:space="preserve"> de la marge de solvabilité supérieur au montant de l’</w:t>
      </w:r>
      <w:r w:rsidRPr="00A83B39">
        <w:rPr>
          <w:sz w:val="24"/>
          <w:szCs w:val="24"/>
          <w:u w:val="single"/>
        </w:rPr>
        <w:t>exigence de marge</w:t>
      </w:r>
      <w:r w:rsidRPr="00A83B39">
        <w:rPr>
          <w:sz w:val="24"/>
          <w:szCs w:val="24"/>
        </w:rPr>
        <w:t xml:space="preserve"> de solvabilité (calculée au dernier inventaire). Le respect « à tout moment » de la marge de solvabilité est un principe législatif. Schématiquement, l’exigence de marge de solvabilité impose que la valeur réelle des actifs (valeur comptable augmentée des éventuelles plus-values latentes nettes des moins-values latentes) excède la valeur comptable des passifs réels d’un montant au moins égal à une marge de sécurité calculée en fonction de l’activité de l’organisme. </w:t>
      </w:r>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rPr>
        <w:t xml:space="preserve">D’une manière simplifiée, l’exigence de marge de solvabilité en non-vie est déterminée comme le maximum entre d’une part un pourcentage basé sur les cotisations, d’autre part un pourcentage basé sur la charge de sinistres. En vie, l’exigence de marge est un pourcentage du montant des provisions mathématiques (égal à 4 % ou 1 % selon que l’entreprise assume ou non un risque de placement) augmenté d’un pourcentage des capitaux sous risque. L’exigence de marge tant en vie qu’en non vie ne tient évidemment pas assez compte des risques propres à chaque organisme et peut apparaître bien arbitraire à de nombreux égards. En revanche, son calcul et son respect sont aisément calculables. La marge ne doit pas être considérée comme une valeur cible pour les fonds propres de l’organisme mais uniquement comme le plancher en-dessous duquel un organisme est passible de </w:t>
      </w:r>
      <w:r w:rsidRPr="00A83B39">
        <w:rPr>
          <w:rFonts w:cs="Arial"/>
          <w:sz w:val="24"/>
          <w:szCs w:val="24"/>
        </w:rPr>
        <w:t xml:space="preserve">mesures de sauvegarde </w:t>
      </w:r>
      <w:r w:rsidRPr="00A83B39">
        <w:rPr>
          <w:sz w:val="24"/>
          <w:szCs w:val="24"/>
        </w:rPr>
        <w:t>automatiques</w:t>
      </w:r>
      <w:r w:rsidRPr="00A83B39">
        <w:rPr>
          <w:rFonts w:cs="Arial"/>
          <w:sz w:val="24"/>
          <w:szCs w:val="24"/>
        </w:rPr>
        <w:t xml:space="preserve"> ou de sanctions graves comme le retrait d’agrément</w:t>
      </w:r>
      <w:r w:rsidRPr="00A83B39">
        <w:rPr>
          <w:sz w:val="24"/>
          <w:szCs w:val="24"/>
        </w:rPr>
        <w:t>.</w:t>
      </w:r>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rPr>
        <w:t xml:space="preserve">Enfin la réglementation a défini un seuil appelé </w:t>
      </w:r>
      <w:r w:rsidRPr="00A83B39">
        <w:rPr>
          <w:sz w:val="24"/>
          <w:szCs w:val="24"/>
          <w:u w:val="single"/>
        </w:rPr>
        <w:t>fonds de garantie</w:t>
      </w:r>
      <w:r w:rsidRPr="00A83B39">
        <w:rPr>
          <w:sz w:val="24"/>
          <w:szCs w:val="24"/>
        </w:rPr>
        <w:t xml:space="preserve"> égal au maximum entre un tiers de l’exigence de marge et un montant absolu variant selon la nature de l’organisme et son activité. Le fonds de garantie constitue un seuil en-deçà duquel l’ACP exige un refinancement très rapide des organismes. Son montant est révisé en fonction de l’inflation.</w:t>
      </w:r>
    </w:p>
    <w:p w:rsidR="00806FB8" w:rsidRPr="00A83B39" w:rsidRDefault="00806FB8" w:rsidP="00806FB8">
      <w:pPr>
        <w:rPr>
          <w:sz w:val="16"/>
          <w:szCs w:val="16"/>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54" w:name="_Toc351126771"/>
      <w:r w:rsidRPr="00A83B39">
        <w:rPr>
          <w:sz w:val="28"/>
        </w:rPr>
        <w:t>Construction de l'état C6</w:t>
      </w:r>
      <w:bookmarkEnd w:id="54"/>
    </w:p>
    <w:p w:rsidR="00806FB8" w:rsidRPr="00A83B39" w:rsidRDefault="00806FB8" w:rsidP="00806FB8">
      <w:pPr>
        <w:rPr>
          <w:sz w:val="24"/>
          <w:szCs w:val="24"/>
        </w:rPr>
      </w:pPr>
      <w:r w:rsidRPr="00A83B39">
        <w:rPr>
          <w:sz w:val="24"/>
          <w:szCs w:val="24"/>
        </w:rPr>
        <w:t>La construction de l'état C6 à la date d’inventaire se mène en deux étapes : calcul de l’exigence de marge puis vérification du caractère admissible des éléments constitutifs.</w:t>
      </w:r>
    </w:p>
    <w:p w:rsidR="00806FB8" w:rsidRPr="00A83B39" w:rsidRDefault="00806FB8" w:rsidP="00806FB8"/>
    <w:p w:rsidR="00806FB8" w:rsidRPr="00A83B39" w:rsidRDefault="00806FB8" w:rsidP="00806FB8">
      <w:pPr>
        <w:pStyle w:val="ListParagraph"/>
        <w:numPr>
          <w:ilvl w:val="3"/>
          <w:numId w:val="12"/>
        </w:numPr>
        <w:autoSpaceDE w:val="0"/>
        <w:autoSpaceDN w:val="0"/>
        <w:adjustRightInd w:val="0"/>
        <w:ind w:left="1723" w:hanging="646"/>
        <w:jc w:val="left"/>
        <w:outlineLvl w:val="4"/>
        <w:rPr>
          <w:sz w:val="28"/>
        </w:rPr>
      </w:pPr>
      <w:bookmarkStart w:id="55" w:name="_Toc351126772"/>
      <w:r w:rsidRPr="00A83B39">
        <w:rPr>
          <w:sz w:val="28"/>
        </w:rPr>
        <w:t>Estimation de l’exigence de marge de solvabilité</w:t>
      </w:r>
      <w:bookmarkEnd w:id="55"/>
    </w:p>
    <w:p w:rsidR="00806FB8" w:rsidRPr="00A83B39" w:rsidRDefault="00806FB8" w:rsidP="00806FB8">
      <w:pPr>
        <w:rPr>
          <w:i/>
          <w:sz w:val="24"/>
          <w:szCs w:val="24"/>
        </w:rPr>
      </w:pPr>
      <w:r w:rsidRPr="00A83B39">
        <w:rPr>
          <w:i/>
          <w:sz w:val="24"/>
          <w:szCs w:val="24"/>
        </w:rPr>
        <w:t>Voir paragraphe précédent</w:t>
      </w:r>
    </w:p>
    <w:p w:rsidR="00806FB8" w:rsidRPr="00A83B39" w:rsidRDefault="00806FB8" w:rsidP="00806FB8">
      <w:pPr>
        <w:rPr>
          <w:i/>
        </w:rPr>
      </w:pPr>
    </w:p>
    <w:p w:rsidR="00806FB8" w:rsidRPr="00A83B39" w:rsidRDefault="00806FB8" w:rsidP="00806FB8">
      <w:pPr>
        <w:pStyle w:val="ListParagraph"/>
        <w:numPr>
          <w:ilvl w:val="3"/>
          <w:numId w:val="12"/>
        </w:numPr>
        <w:autoSpaceDE w:val="0"/>
        <w:autoSpaceDN w:val="0"/>
        <w:adjustRightInd w:val="0"/>
        <w:ind w:left="1723" w:hanging="646"/>
        <w:jc w:val="left"/>
        <w:outlineLvl w:val="4"/>
        <w:rPr>
          <w:sz w:val="28"/>
        </w:rPr>
      </w:pPr>
      <w:bookmarkStart w:id="56" w:name="_Toc351126773"/>
      <w:r w:rsidRPr="00A83B39">
        <w:rPr>
          <w:sz w:val="28"/>
        </w:rPr>
        <w:t>Estimation des éléments constitutifs de la marge de solvabilité</w:t>
      </w:r>
      <w:bookmarkEnd w:id="56"/>
    </w:p>
    <w:p w:rsidR="00806FB8" w:rsidRPr="00A83B39" w:rsidRDefault="00806FB8" w:rsidP="00806FB8"/>
    <w:p w:rsidR="00806FB8" w:rsidRPr="00A83B39" w:rsidRDefault="00806FB8" w:rsidP="00806FB8">
      <w:pPr>
        <w:rPr>
          <w:sz w:val="24"/>
          <w:szCs w:val="24"/>
        </w:rPr>
      </w:pPr>
      <w:r w:rsidRPr="00A83B39">
        <w:rPr>
          <w:sz w:val="24"/>
          <w:szCs w:val="24"/>
        </w:rPr>
        <w:t>Les organismes doivent porter dans l’état C6 la totalité des éléments de marge dont ils disposent, c’est-à-dire, outre les fonds propres diminués des actifs incorporels et des actions propres détenues directement, leurs quasi-fonds propres et les plus-values latentes. Il convient de retirer la part des frais d’acquisition non admise en représentation des engagements réglementés. Par ailleurs, le report à nouveau s’entend après affectation des résultats (</w:t>
      </w:r>
      <w:r w:rsidRPr="00A83B39">
        <w:rPr>
          <w:i/>
          <w:sz w:val="24"/>
          <w:szCs w:val="24"/>
        </w:rPr>
        <w:t>i.e.</w:t>
      </w:r>
      <w:r w:rsidRPr="00A83B39">
        <w:rPr>
          <w:sz w:val="24"/>
          <w:szCs w:val="24"/>
        </w:rPr>
        <w:t xml:space="preserve"> déduction faite des éventuels dividendes à verser au titre du dernier exercice), ce qui est parfois oublié.</w:t>
      </w:r>
    </w:p>
    <w:p w:rsidR="00806FB8" w:rsidRPr="00A83B39" w:rsidRDefault="00806FB8" w:rsidP="00806FB8">
      <w:pPr>
        <w:rPr>
          <w:sz w:val="16"/>
          <w:szCs w:val="16"/>
        </w:rPr>
      </w:pPr>
    </w:p>
    <w:p w:rsidR="00806FB8" w:rsidRPr="00A83B39" w:rsidRDefault="00806FB8" w:rsidP="00806FB8">
      <w:pPr>
        <w:pStyle w:val="ListParagraph"/>
        <w:numPr>
          <w:ilvl w:val="2"/>
          <w:numId w:val="12"/>
        </w:numPr>
        <w:autoSpaceDE w:val="0"/>
        <w:autoSpaceDN w:val="0"/>
        <w:adjustRightInd w:val="0"/>
        <w:ind w:left="1225" w:hanging="505"/>
        <w:jc w:val="left"/>
        <w:outlineLvl w:val="3"/>
        <w:rPr>
          <w:sz w:val="28"/>
        </w:rPr>
      </w:pPr>
      <w:bookmarkStart w:id="57" w:name="_Toc351126774"/>
      <w:r w:rsidRPr="00A83B39">
        <w:rPr>
          <w:sz w:val="28"/>
        </w:rPr>
        <w:t>Conséquences d’une insuffisance de marge de solvabilité</w:t>
      </w:r>
      <w:bookmarkEnd w:id="57"/>
    </w:p>
    <w:p w:rsidR="00806FB8" w:rsidRPr="00A83B39" w:rsidRDefault="00806FB8" w:rsidP="00806FB8">
      <w:pPr>
        <w:rPr>
          <w:sz w:val="16"/>
          <w:szCs w:val="16"/>
        </w:rPr>
      </w:pPr>
    </w:p>
    <w:p w:rsidR="00806FB8" w:rsidRPr="00A83B39" w:rsidRDefault="00806FB8" w:rsidP="00806FB8">
      <w:pPr>
        <w:rPr>
          <w:sz w:val="24"/>
          <w:szCs w:val="24"/>
        </w:rPr>
      </w:pPr>
      <w:r w:rsidRPr="00A83B39">
        <w:rPr>
          <w:sz w:val="24"/>
          <w:szCs w:val="24"/>
        </w:rPr>
        <w:t xml:space="preserve">Lorsque la marge de solvabilité de l’organisme est </w:t>
      </w:r>
      <w:r w:rsidRPr="00A83B39">
        <w:rPr>
          <w:sz w:val="24"/>
          <w:szCs w:val="24"/>
          <w:u w:val="single"/>
        </w:rPr>
        <w:t>inférieure à l’exigence réglementaire</w:t>
      </w:r>
      <w:r w:rsidRPr="00A83B39">
        <w:rPr>
          <w:sz w:val="24"/>
          <w:szCs w:val="24"/>
        </w:rPr>
        <w:t>, l’ACP demande obligatoirement qu’</w:t>
      </w:r>
      <w:r w:rsidRPr="00A83B39">
        <w:rPr>
          <w:sz w:val="24"/>
          <w:szCs w:val="24"/>
          <w:u w:val="single"/>
        </w:rPr>
        <w:t>un plan de redressement</w:t>
      </w:r>
      <w:r w:rsidRPr="00A83B39">
        <w:rPr>
          <w:sz w:val="24"/>
          <w:szCs w:val="24"/>
        </w:rPr>
        <w:t xml:space="preserve"> soit soumis à son approbation.</w:t>
      </w:r>
    </w:p>
    <w:p w:rsidR="00806FB8" w:rsidRPr="00A83B39" w:rsidRDefault="00806FB8" w:rsidP="00806FB8">
      <w:pPr>
        <w:rPr>
          <w:sz w:val="24"/>
          <w:szCs w:val="24"/>
        </w:rPr>
      </w:pPr>
      <w:r w:rsidRPr="00A83B39">
        <w:rPr>
          <w:sz w:val="24"/>
          <w:szCs w:val="24"/>
        </w:rPr>
        <w:t xml:space="preserve">Lorsque la marge de solvabilité de l’organisme est </w:t>
      </w:r>
      <w:r w:rsidRPr="00A83B39">
        <w:rPr>
          <w:sz w:val="24"/>
          <w:szCs w:val="24"/>
          <w:u w:val="single"/>
        </w:rPr>
        <w:t>inférieure au fonds de garantie</w:t>
      </w:r>
      <w:r w:rsidRPr="00A83B39">
        <w:rPr>
          <w:sz w:val="24"/>
          <w:szCs w:val="24"/>
        </w:rPr>
        <w:t xml:space="preserve">, l’ACP exige obligatoirement qu’un </w:t>
      </w:r>
      <w:r w:rsidRPr="00A83B39">
        <w:rPr>
          <w:sz w:val="24"/>
          <w:szCs w:val="24"/>
          <w:u w:val="single"/>
        </w:rPr>
        <w:t>plan de financement à court terme</w:t>
      </w:r>
      <w:r w:rsidRPr="00A83B39">
        <w:rPr>
          <w:sz w:val="24"/>
          <w:szCs w:val="24"/>
        </w:rPr>
        <w:t xml:space="preserve"> soit soumis à son approbation.</w:t>
      </w:r>
    </w:p>
    <w:p w:rsidR="00806FB8" w:rsidRPr="00A83B39" w:rsidRDefault="00806FB8" w:rsidP="00806FB8">
      <w:pPr>
        <w:rPr>
          <w:sz w:val="24"/>
          <w:szCs w:val="24"/>
        </w:rPr>
      </w:pPr>
      <w:r w:rsidRPr="00A83B39">
        <w:rPr>
          <w:sz w:val="24"/>
          <w:szCs w:val="24"/>
        </w:rPr>
        <w:t>Dans les deux cas, l’ACP peut également adresser une recommandation ou prononcer une sanction envers l’organisme.</w:t>
      </w:r>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rPr>
        <w:t xml:space="preserve">De plus, lorsque la situation financière de l’organisme est telle que les intérêts des assurés et bénéficiaires de contrats sont compromis ou susceptible de l’être, l’ACP peut prendre des mesures d’urgence parmi lesquelles le </w:t>
      </w:r>
      <w:r w:rsidRPr="00A83B39">
        <w:rPr>
          <w:sz w:val="24"/>
          <w:szCs w:val="24"/>
          <w:u w:val="single"/>
        </w:rPr>
        <w:t>renforcement de la marge de solvabilité</w:t>
      </w:r>
      <w:r w:rsidRPr="00A83B39">
        <w:rPr>
          <w:sz w:val="24"/>
          <w:szCs w:val="24"/>
        </w:rPr>
        <w:t>.</w:t>
      </w:r>
    </w:p>
    <w:p w:rsidR="00806FB8" w:rsidRPr="00A83B39" w:rsidRDefault="00806FB8" w:rsidP="00806FB8">
      <w:pPr>
        <w:rPr>
          <w:sz w:val="24"/>
          <w:szCs w:val="24"/>
        </w:rPr>
      </w:pPr>
    </w:p>
    <w:p w:rsidR="00806FB8" w:rsidRPr="00A83B39" w:rsidRDefault="00806FB8" w:rsidP="00806FB8">
      <w:pPr>
        <w:rPr>
          <w:sz w:val="24"/>
          <w:szCs w:val="24"/>
        </w:rPr>
      </w:pPr>
      <w:bookmarkStart w:id="58" w:name="OLE_LINK1"/>
      <w:bookmarkStart w:id="59" w:name="OLE_LINK2"/>
      <w:r w:rsidRPr="00A83B39">
        <w:rPr>
          <w:sz w:val="24"/>
          <w:szCs w:val="24"/>
        </w:rPr>
        <w:t>Les organismes peuvent résorber leur insuffisance de marge de diverses manières qui varient selon leur nature juridique :</w:t>
      </w:r>
    </w:p>
    <w:bookmarkEnd w:id="58"/>
    <w:bookmarkEnd w:id="59"/>
    <w:p w:rsidR="00806FB8" w:rsidRPr="00A83B39" w:rsidRDefault="00806FB8" w:rsidP="00806FB8">
      <w:pPr>
        <w:numPr>
          <w:ilvl w:val="0"/>
          <w:numId w:val="45"/>
        </w:numPr>
        <w:rPr>
          <w:sz w:val="24"/>
          <w:szCs w:val="24"/>
        </w:rPr>
      </w:pPr>
      <w:r w:rsidRPr="00A83B39">
        <w:rPr>
          <w:sz w:val="24"/>
          <w:szCs w:val="24"/>
        </w:rPr>
        <w:t>pour l’ensemble des organismes : émission de titres ou d’emprunts subordonnés ;</w:t>
      </w:r>
    </w:p>
    <w:p w:rsidR="00806FB8" w:rsidRPr="00A83B39" w:rsidRDefault="00806FB8" w:rsidP="00806FB8">
      <w:pPr>
        <w:numPr>
          <w:ilvl w:val="0"/>
          <w:numId w:val="45"/>
        </w:numPr>
        <w:rPr>
          <w:sz w:val="24"/>
          <w:szCs w:val="24"/>
        </w:rPr>
      </w:pPr>
      <w:r w:rsidRPr="00A83B39">
        <w:rPr>
          <w:sz w:val="24"/>
          <w:szCs w:val="24"/>
        </w:rPr>
        <w:t>pour les sociétés anonymes : augmentation du capital social ;</w:t>
      </w:r>
    </w:p>
    <w:p w:rsidR="00806FB8" w:rsidRPr="00A83B39" w:rsidRDefault="00806FB8" w:rsidP="00806FB8">
      <w:pPr>
        <w:numPr>
          <w:ilvl w:val="0"/>
          <w:numId w:val="45"/>
        </w:numPr>
        <w:rPr>
          <w:sz w:val="24"/>
          <w:szCs w:val="24"/>
        </w:rPr>
      </w:pPr>
      <w:r w:rsidRPr="00A83B39">
        <w:rPr>
          <w:sz w:val="24"/>
          <w:szCs w:val="24"/>
        </w:rPr>
        <w:t>pour les sociétés d’assurance mutuelles pratiquant exclusivement des opérations non-vie : émission d’emprunts pour fonds social complémentaire, ou d’emprunts destinés à alimenter le fonds d’établissement ;</w:t>
      </w:r>
    </w:p>
    <w:p w:rsidR="00806FB8" w:rsidRPr="00A83B39" w:rsidRDefault="00806FB8" w:rsidP="00806FB8">
      <w:pPr>
        <w:numPr>
          <w:ilvl w:val="0"/>
          <w:numId w:val="45"/>
        </w:numPr>
        <w:rPr>
          <w:sz w:val="24"/>
          <w:szCs w:val="24"/>
        </w:rPr>
      </w:pPr>
      <w:r w:rsidRPr="00A83B39">
        <w:rPr>
          <w:sz w:val="24"/>
          <w:szCs w:val="24"/>
        </w:rPr>
        <w:lastRenderedPageBreak/>
        <w:t>pour les mutuelles du code de la mutualité et les institutions de prévoyance : émission d’emprunts pour fonds de développement.</w:t>
      </w:r>
    </w:p>
    <w:p w:rsidR="00806FB8" w:rsidRPr="00A83B39" w:rsidRDefault="00806FB8" w:rsidP="00806FB8">
      <w:pPr>
        <w:rPr>
          <w:sz w:val="24"/>
          <w:szCs w:val="24"/>
        </w:rPr>
      </w:pPr>
      <w:r w:rsidRPr="00A83B39">
        <w:rPr>
          <w:sz w:val="24"/>
          <w:szCs w:val="24"/>
        </w:rPr>
        <w:t>Les organismes peuvent également réduire leurs engagements.</w:t>
      </w:r>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pStyle w:val="ListParagraph"/>
        <w:autoSpaceDE w:val="0"/>
        <w:autoSpaceDN w:val="0"/>
        <w:adjustRightInd w:val="0"/>
        <w:jc w:val="left"/>
        <w:rPr>
          <w:rFonts w:ascii="ArialMT" w:hAnsi="ArialMT" w:cs="ArialMT"/>
          <w:color w:val="000000"/>
          <w:szCs w:val="22"/>
        </w:rPr>
      </w:pPr>
    </w:p>
    <w:p w:rsidR="00806FB8" w:rsidRPr="00A83B39" w:rsidRDefault="00806FB8" w:rsidP="00806FB8">
      <w:pPr>
        <w:jc w:val="left"/>
        <w:rPr>
          <w:rFonts w:ascii="ArialMT" w:hAnsi="ArialMT" w:cs="ArialMT"/>
          <w:color w:val="000000"/>
          <w:szCs w:val="22"/>
        </w:rPr>
      </w:pPr>
      <w:bookmarkStart w:id="60" w:name="_GoBack"/>
      <w:bookmarkEnd w:id="60"/>
    </w:p>
    <w:p w:rsidR="00806FB8" w:rsidRPr="00A83B39" w:rsidRDefault="00806FB8" w:rsidP="00806FB8">
      <w:pPr>
        <w:pStyle w:val="ListParagraph"/>
        <w:numPr>
          <w:ilvl w:val="0"/>
          <w:numId w:val="12"/>
        </w:numPr>
        <w:ind w:left="357" w:hanging="357"/>
        <w:contextualSpacing w:val="0"/>
        <w:outlineLvl w:val="1"/>
        <w:rPr>
          <w:sz w:val="28"/>
        </w:rPr>
      </w:pPr>
      <w:bookmarkStart w:id="61" w:name="_Toc351126775"/>
      <w:r w:rsidRPr="00A83B39">
        <w:rPr>
          <w:sz w:val="28"/>
        </w:rPr>
        <w:t>Les tableaux de bord : outils de mesure de la performance</w:t>
      </w:r>
      <w:bookmarkEnd w:id="61"/>
    </w:p>
    <w:p w:rsidR="00806FB8" w:rsidRPr="00A83B39" w:rsidRDefault="00806FB8" w:rsidP="00806FB8">
      <w:pPr>
        <w:autoSpaceDE w:val="0"/>
        <w:autoSpaceDN w:val="0"/>
        <w:adjustRightInd w:val="0"/>
        <w:jc w:val="left"/>
        <w:rPr>
          <w:sz w:val="28"/>
        </w:rPr>
      </w:pPr>
    </w:p>
    <w:p w:rsidR="00806FB8" w:rsidRPr="00A83B39" w:rsidRDefault="00806FB8" w:rsidP="00806FB8">
      <w:pPr>
        <w:autoSpaceDE w:val="0"/>
        <w:autoSpaceDN w:val="0"/>
        <w:adjustRightInd w:val="0"/>
        <w:rPr>
          <w:sz w:val="24"/>
          <w:szCs w:val="24"/>
        </w:rPr>
      </w:pPr>
      <w:r w:rsidRPr="00A83B39">
        <w:rPr>
          <w:sz w:val="24"/>
          <w:szCs w:val="24"/>
        </w:rPr>
        <w:t>Les tableaux de bord sont des documents produits de façon périodique présentant un ensemble d’indicateurs structurés et formalisés, et visant à apprécier les performances d’une activité</w:t>
      </w:r>
    </w:p>
    <w:p w:rsidR="00806FB8" w:rsidRPr="00A83B39" w:rsidRDefault="00806FB8" w:rsidP="00806FB8">
      <w:pPr>
        <w:autoSpaceDE w:val="0"/>
        <w:autoSpaceDN w:val="0"/>
        <w:adjustRightInd w:val="0"/>
        <w:jc w:val="left"/>
        <w:rPr>
          <w:sz w:val="28"/>
        </w:rPr>
      </w:pPr>
    </w:p>
    <w:p w:rsidR="00806FB8" w:rsidRPr="00A83B39" w:rsidRDefault="00806FB8" w:rsidP="00806FB8">
      <w:pPr>
        <w:pStyle w:val="ListParagraph"/>
        <w:numPr>
          <w:ilvl w:val="1"/>
          <w:numId w:val="12"/>
        </w:numPr>
        <w:ind w:left="788" w:hanging="431"/>
        <w:contextualSpacing w:val="0"/>
        <w:outlineLvl w:val="2"/>
        <w:rPr>
          <w:sz w:val="28"/>
        </w:rPr>
      </w:pPr>
      <w:bookmarkStart w:id="62" w:name="_Toc351126776"/>
      <w:r w:rsidRPr="00A83B39">
        <w:rPr>
          <w:sz w:val="28"/>
        </w:rPr>
        <w:t>Les tableaux de bord dans l’entreprise</w:t>
      </w:r>
      <w:bookmarkEnd w:id="62"/>
    </w:p>
    <w:p w:rsidR="00806FB8" w:rsidRPr="00A83B39" w:rsidRDefault="00806FB8" w:rsidP="00806FB8">
      <w:pPr>
        <w:pStyle w:val="ListParagraph"/>
        <w:autoSpaceDE w:val="0"/>
        <w:autoSpaceDN w:val="0"/>
        <w:adjustRightInd w:val="0"/>
        <w:ind w:left="792"/>
        <w:jc w:val="left"/>
        <w:rPr>
          <w:sz w:val="28"/>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Les tableaux de bord sont des outils privilégiés dans la démarche de contrôle de gestion dans la mesure où :</w:t>
      </w:r>
    </w:p>
    <w:p w:rsidR="00806FB8" w:rsidRPr="00A83B39" w:rsidRDefault="00806FB8" w:rsidP="00806FB8">
      <w:pPr>
        <w:pStyle w:val="ListParagraph"/>
        <w:numPr>
          <w:ilvl w:val="0"/>
          <w:numId w:val="32"/>
        </w:numPr>
        <w:autoSpaceDE w:val="0"/>
        <w:autoSpaceDN w:val="0"/>
        <w:adjustRightInd w:val="0"/>
        <w:rPr>
          <w:color w:val="000000"/>
          <w:sz w:val="24"/>
          <w:szCs w:val="24"/>
        </w:rPr>
      </w:pPr>
      <w:r w:rsidRPr="00A83B39">
        <w:rPr>
          <w:color w:val="000000"/>
          <w:sz w:val="24"/>
          <w:szCs w:val="24"/>
        </w:rPr>
        <w:t>ils apportent une information au management en vue d’apprécier l’activité et l’inciter à prendre des mesures correctives dans le cas de dérives par rapport au cap prévu (l’objectif) ;</w:t>
      </w:r>
    </w:p>
    <w:p w:rsidR="00806FB8" w:rsidRPr="00A83B39" w:rsidRDefault="00806FB8" w:rsidP="00806FB8">
      <w:pPr>
        <w:pStyle w:val="ListParagraph"/>
        <w:numPr>
          <w:ilvl w:val="0"/>
          <w:numId w:val="32"/>
        </w:numPr>
        <w:autoSpaceDE w:val="0"/>
        <w:autoSpaceDN w:val="0"/>
        <w:adjustRightInd w:val="0"/>
        <w:rPr>
          <w:color w:val="000000"/>
          <w:sz w:val="24"/>
          <w:szCs w:val="24"/>
        </w:rPr>
      </w:pPr>
      <w:r w:rsidRPr="00A83B39">
        <w:rPr>
          <w:color w:val="000000"/>
          <w:sz w:val="24"/>
          <w:szCs w:val="24"/>
        </w:rPr>
        <w:t>ils rationnalisent l’activité autour d’indicateurs clés qui doivent être partagés.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Un tableau de bord comporte des indicateurs qui peuvent être quantitatifs (financiers ou non) et qualitatifs. Ils mettront en avant des indicateurs qui seront en général confrontés à des objectifs fixés dans le cadre des budgets ou du plan.</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Si la notion de tableaux de bord renvoie traditionnellement aux tableaux de bord commerciaux et financiers, dans la pratique chaque manager reçoit ou produit des tableaux de bord qui peuvent être très variés. Si l’on prend l’exemple d’un tableau de bord de suivi de l’activité d’une </w:t>
      </w:r>
      <w:proofErr w:type="spellStart"/>
      <w:r w:rsidRPr="00A83B39">
        <w:rPr>
          <w:color w:val="000000"/>
          <w:sz w:val="24"/>
          <w:szCs w:val="24"/>
        </w:rPr>
        <w:t>plate forme</w:t>
      </w:r>
      <w:proofErr w:type="spellEnd"/>
      <w:r w:rsidRPr="00A83B39">
        <w:rPr>
          <w:color w:val="000000"/>
          <w:sz w:val="24"/>
          <w:szCs w:val="24"/>
        </w:rPr>
        <w:t xml:space="preserve"> téléphonique celui-ci ne comprendra pas d’indicateurs financiers mais uniquement des indicateurs qualitatifs tels que le taux de décroché, ou le taux de réponse avant x minutes etc.…</w:t>
      </w:r>
    </w:p>
    <w:p w:rsidR="00806FB8" w:rsidRPr="00A83B39" w:rsidRDefault="00806FB8" w:rsidP="00806FB8">
      <w:pPr>
        <w:autoSpaceDE w:val="0"/>
        <w:autoSpaceDN w:val="0"/>
        <w:adjustRightInd w:val="0"/>
        <w:rPr>
          <w:color w:val="000000"/>
          <w:sz w:val="24"/>
          <w:szCs w:val="24"/>
        </w:rPr>
      </w:pPr>
      <w:r w:rsidRPr="00A83B39">
        <w:rPr>
          <w:color w:val="000000"/>
          <w:sz w:val="24"/>
          <w:szCs w:val="24"/>
        </w:rPr>
        <w:t>De nombreux tableaux de bord sont donc produits dans l’entreprise. Si tous ces tableaux de bord contribuent au contrôle de gestion de l’entreprise, ils ne sont donc pas tous produits et diffusés par le service de contrôle de gestion.</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sz w:val="24"/>
          <w:szCs w:val="24"/>
        </w:rPr>
      </w:pPr>
      <w:r w:rsidRPr="00A83B39">
        <w:rPr>
          <w:sz w:val="24"/>
          <w:szCs w:val="24"/>
        </w:rPr>
        <w:t>Plus on descend dans l’organigramme plus le niveau d’information sera détaillé. Au contraire, plus l’on se rapprochera de la direction générale plus l’information devra être synthétique.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Parmi les nombreux tableaux de bord produits dans l’entreprise les plus classiques sont ceux qui permettent le suivi de l’activité commerciale et du portefeuille de contrat.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Si le contrôle de gestion n’intervient pas nécessairement dans la production de chaque tableaux de bord il semble souhaitable qu’il s’assure :</w:t>
      </w:r>
    </w:p>
    <w:p w:rsidR="00806FB8" w:rsidRPr="00A83B39" w:rsidRDefault="00806FB8" w:rsidP="00806FB8">
      <w:pPr>
        <w:pStyle w:val="ListParagraph"/>
        <w:numPr>
          <w:ilvl w:val="0"/>
          <w:numId w:val="34"/>
        </w:numPr>
        <w:autoSpaceDE w:val="0"/>
        <w:autoSpaceDN w:val="0"/>
        <w:adjustRightInd w:val="0"/>
        <w:rPr>
          <w:sz w:val="24"/>
          <w:szCs w:val="24"/>
        </w:rPr>
      </w:pPr>
      <w:r w:rsidRPr="00A83B39">
        <w:rPr>
          <w:sz w:val="24"/>
          <w:szCs w:val="24"/>
        </w:rPr>
        <w:t>de la cohérence des informations diffusées dans les différents tableaux de bord. Des incohérences peuvent en effet conduire à des incompréhensions et erreurs d’appréciation. De plus elles peuvent entrainer un discrédit de la fonction contrôle de gestion qui sera à terme dommageable au pilotage de l’entreprise ;</w:t>
      </w:r>
    </w:p>
    <w:p w:rsidR="00806FB8" w:rsidRPr="00A83B39" w:rsidRDefault="00806FB8" w:rsidP="00806FB8">
      <w:pPr>
        <w:pStyle w:val="ListParagraph"/>
        <w:numPr>
          <w:ilvl w:val="0"/>
          <w:numId w:val="34"/>
        </w:numPr>
        <w:autoSpaceDE w:val="0"/>
        <w:autoSpaceDN w:val="0"/>
        <w:adjustRightInd w:val="0"/>
        <w:rPr>
          <w:sz w:val="24"/>
          <w:szCs w:val="24"/>
        </w:rPr>
      </w:pPr>
      <w:r w:rsidRPr="00A83B39">
        <w:rPr>
          <w:sz w:val="24"/>
          <w:szCs w:val="24"/>
        </w:rPr>
        <w:t xml:space="preserve">de la cohérence des informations par rapport aux données comptables. Dans la pratique le cadrage des données issues des tableaux de bord et des données issues des systèmes comptables n’est pas une chose aisée. Le contrôleur de gestion devra être en mesure d’expliquer le cas échéant les divergences entre les données publiées dans le cadre des tableaux de bord et celles publiées dans le cadre des </w:t>
      </w:r>
      <w:proofErr w:type="spellStart"/>
      <w:r w:rsidRPr="00A83B39">
        <w:rPr>
          <w:sz w:val="24"/>
          <w:szCs w:val="24"/>
        </w:rPr>
        <w:t>reportings</w:t>
      </w:r>
      <w:proofErr w:type="spellEnd"/>
      <w:r w:rsidRPr="00A83B39">
        <w:rPr>
          <w:sz w:val="24"/>
          <w:szCs w:val="24"/>
        </w:rPr>
        <w:t xml:space="preserve"> comptables (chiffres d’affaires, commissions, provisions) ;</w:t>
      </w:r>
    </w:p>
    <w:p w:rsidR="00806FB8" w:rsidRPr="00A83B39" w:rsidRDefault="00806FB8" w:rsidP="00806FB8">
      <w:pPr>
        <w:pStyle w:val="ListParagraph"/>
        <w:numPr>
          <w:ilvl w:val="0"/>
          <w:numId w:val="34"/>
        </w:numPr>
        <w:autoSpaceDE w:val="0"/>
        <w:autoSpaceDN w:val="0"/>
        <w:adjustRightInd w:val="0"/>
        <w:rPr>
          <w:sz w:val="24"/>
          <w:szCs w:val="24"/>
        </w:rPr>
      </w:pPr>
      <w:r w:rsidRPr="00A83B39">
        <w:rPr>
          <w:sz w:val="24"/>
          <w:szCs w:val="24"/>
        </w:rPr>
        <w:t>de la cohérence par rapport aux données communiquées aux autorités de contrôle (</w:t>
      </w:r>
      <w:proofErr w:type="spellStart"/>
      <w:r w:rsidRPr="00A83B39">
        <w:rPr>
          <w:sz w:val="24"/>
          <w:szCs w:val="24"/>
        </w:rPr>
        <w:t>reportings</w:t>
      </w:r>
      <w:proofErr w:type="spellEnd"/>
      <w:r w:rsidRPr="00A83B39">
        <w:rPr>
          <w:sz w:val="24"/>
          <w:szCs w:val="24"/>
        </w:rPr>
        <w:t xml:space="preserve"> trimestriels et annuels).</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1"/>
          <w:numId w:val="12"/>
        </w:numPr>
        <w:ind w:left="788" w:hanging="431"/>
        <w:contextualSpacing w:val="0"/>
        <w:outlineLvl w:val="2"/>
        <w:rPr>
          <w:sz w:val="28"/>
        </w:rPr>
      </w:pPr>
      <w:bookmarkStart w:id="63" w:name="_Toc351126777"/>
      <w:r w:rsidRPr="00A83B39">
        <w:rPr>
          <w:sz w:val="28"/>
        </w:rPr>
        <w:lastRenderedPageBreak/>
        <w:t>Développement de tableaux de bord</w:t>
      </w:r>
      <w:bookmarkEnd w:id="63"/>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La question de la mise en place d’un nouveau tableau de bord (ou l’adaptation d’un ancien) se fait ressentir lors du lancement ou du développement d’une nouvelle activité ou suite à la mise en place de nouveaux objectifs. Le développement d’un nouveau tableau de bord passe schématiquement par les phases suivantes :</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b/>
          <w:bCs/>
          <w:color w:val="000000"/>
          <w:sz w:val="24"/>
          <w:szCs w:val="24"/>
        </w:rPr>
      </w:pPr>
      <w:r w:rsidRPr="00A83B39">
        <w:rPr>
          <w:color w:val="000000"/>
          <w:sz w:val="24"/>
          <w:szCs w:val="24"/>
        </w:rPr>
        <w:t xml:space="preserve">• </w:t>
      </w:r>
      <w:r w:rsidRPr="00A83B39">
        <w:rPr>
          <w:b/>
          <w:bCs/>
          <w:color w:val="000000"/>
          <w:sz w:val="24"/>
          <w:szCs w:val="24"/>
        </w:rPr>
        <w:t>Définition du besoin</w:t>
      </w:r>
    </w:p>
    <w:p w:rsidR="00806FB8" w:rsidRPr="00A83B39" w:rsidRDefault="00806FB8" w:rsidP="00806FB8">
      <w:pPr>
        <w:autoSpaceDE w:val="0"/>
        <w:autoSpaceDN w:val="0"/>
        <w:adjustRightInd w:val="0"/>
        <w:rPr>
          <w:b/>
          <w:bCs/>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rôle du contrôleur de gestion va être de recueillir et d’évaluer les besoins des futurs destinataires du tableau de bord. Il devra assurer une fonction de conseil et s’assurer de la cohérence des besoins par rapport aux objectifs recherchés. Le risque est que les futurs utilisateurs demandent:</w:t>
      </w:r>
    </w:p>
    <w:p w:rsidR="00806FB8" w:rsidRPr="00A83B39" w:rsidRDefault="00806FB8" w:rsidP="00806FB8">
      <w:pPr>
        <w:pStyle w:val="ListParagraph"/>
        <w:numPr>
          <w:ilvl w:val="0"/>
          <w:numId w:val="33"/>
        </w:numPr>
        <w:autoSpaceDE w:val="0"/>
        <w:autoSpaceDN w:val="0"/>
        <w:adjustRightInd w:val="0"/>
        <w:rPr>
          <w:color w:val="000000"/>
          <w:sz w:val="24"/>
          <w:szCs w:val="24"/>
        </w:rPr>
      </w:pPr>
      <w:r w:rsidRPr="00A83B39">
        <w:rPr>
          <w:color w:val="000000"/>
          <w:sz w:val="24"/>
          <w:szCs w:val="24"/>
        </w:rPr>
        <w:t>un nombre d’informations ou d’indicateurs trop important qui au final nuira à la lisibilité et à l’exploitation du document. Le contrôleur de gestion doit donc accompagner l’utilisateur dans sa démarche de recherche d’indicateurs pertinents ;</w:t>
      </w:r>
    </w:p>
    <w:p w:rsidR="00806FB8" w:rsidRPr="00A83B39" w:rsidRDefault="00806FB8" w:rsidP="00806FB8">
      <w:pPr>
        <w:pStyle w:val="ListParagraph"/>
        <w:numPr>
          <w:ilvl w:val="0"/>
          <w:numId w:val="33"/>
        </w:numPr>
        <w:autoSpaceDE w:val="0"/>
        <w:autoSpaceDN w:val="0"/>
        <w:adjustRightInd w:val="0"/>
        <w:rPr>
          <w:color w:val="000000"/>
          <w:sz w:val="24"/>
          <w:szCs w:val="24"/>
        </w:rPr>
      </w:pPr>
      <w:r w:rsidRPr="00A83B39">
        <w:rPr>
          <w:color w:val="000000"/>
          <w:sz w:val="24"/>
          <w:szCs w:val="24"/>
        </w:rPr>
        <w:t>des informations difficilement disponibles qui nécessiteront soit une adaptation des systèmes décisionnels, soit des traitements récurrents lourds pour obtenir ces données. Le contrôleur de gestion doit pouvoir estimer le coût et l’opportunité de ces demandes et initier si besoin les adaptations nécessaires des systèmes décisionnels.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b/>
          <w:bCs/>
          <w:color w:val="000000"/>
          <w:sz w:val="24"/>
          <w:szCs w:val="24"/>
        </w:rPr>
      </w:pPr>
      <w:r w:rsidRPr="00A83B39">
        <w:rPr>
          <w:color w:val="000000"/>
          <w:sz w:val="24"/>
          <w:szCs w:val="24"/>
        </w:rPr>
        <w:t xml:space="preserve">• </w:t>
      </w:r>
      <w:r w:rsidRPr="00A83B39">
        <w:rPr>
          <w:b/>
          <w:bCs/>
          <w:color w:val="000000"/>
          <w:sz w:val="24"/>
          <w:szCs w:val="24"/>
        </w:rPr>
        <w:t>Élaboration d’une maquette et validation du résultat</w:t>
      </w:r>
    </w:p>
    <w:p w:rsidR="00806FB8" w:rsidRPr="00A83B39" w:rsidRDefault="00806FB8" w:rsidP="00806FB8">
      <w:pPr>
        <w:autoSpaceDE w:val="0"/>
        <w:autoSpaceDN w:val="0"/>
        <w:adjustRightInd w:val="0"/>
        <w:rPr>
          <w:b/>
          <w:bCs/>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Une fois les besoins définis et discutés le contrôleur de gestion pourra établir une maquette du futur tableau de bord. Il faudra également définir la périodicité ainsi que les destinataires de ce tableau de bord.</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b/>
          <w:bCs/>
          <w:color w:val="000000"/>
          <w:sz w:val="24"/>
          <w:szCs w:val="24"/>
        </w:rPr>
      </w:pPr>
      <w:r w:rsidRPr="00A83B39">
        <w:rPr>
          <w:color w:val="000000"/>
          <w:sz w:val="24"/>
          <w:szCs w:val="24"/>
        </w:rPr>
        <w:t xml:space="preserve">• </w:t>
      </w:r>
      <w:r w:rsidRPr="00A83B39">
        <w:rPr>
          <w:b/>
          <w:bCs/>
          <w:color w:val="000000"/>
          <w:sz w:val="24"/>
          <w:szCs w:val="24"/>
        </w:rPr>
        <w:t>Mise en production</w:t>
      </w:r>
    </w:p>
    <w:p w:rsidR="00806FB8" w:rsidRPr="00304D51" w:rsidRDefault="00806FB8" w:rsidP="00806FB8">
      <w:pPr>
        <w:autoSpaceDE w:val="0"/>
        <w:autoSpaceDN w:val="0"/>
        <w:adjustRightInd w:val="0"/>
        <w:rPr>
          <w:color w:val="000000"/>
          <w:sz w:val="24"/>
          <w:szCs w:val="24"/>
        </w:rPr>
      </w:pPr>
      <w:r w:rsidRPr="00A83B39">
        <w:rPr>
          <w:color w:val="000000"/>
          <w:sz w:val="24"/>
          <w:szCs w:val="24"/>
        </w:rPr>
        <w:t>La mise en production du tableau de bord ne signifie pas que celui-ci n’évoluera plus. Au contraire il devra suivre l’évolution de l’activité et des besoins de pilotage. Si celui-ci ne répond plus aux besoins, la question de sa disparition devra être posée.</w:t>
      </w:r>
    </w:p>
    <w:p w:rsidR="00806FB8" w:rsidRDefault="00806FB8" w:rsidP="00806FB8">
      <w:pPr>
        <w:jc w:val="left"/>
      </w:pPr>
    </w:p>
    <w:p w:rsidR="00806FB8" w:rsidRPr="00A83B39" w:rsidRDefault="00806FB8" w:rsidP="00806FB8"/>
    <w:p w:rsidR="00806FB8" w:rsidRPr="00BB4E8F" w:rsidRDefault="00806FB8" w:rsidP="00806FB8">
      <w:pPr>
        <w:rPr>
          <w:b/>
          <w:color w:val="00B0F0"/>
          <w:sz w:val="24"/>
          <w:u w:val="single"/>
        </w:rPr>
      </w:pPr>
    </w:p>
    <w:p w:rsidR="00806FB8" w:rsidRPr="00BB4E8F" w:rsidRDefault="00806FB8" w:rsidP="00806FB8">
      <w:pPr>
        <w:pBdr>
          <w:top w:val="single" w:sz="4" w:space="1" w:color="auto"/>
          <w:left w:val="single" w:sz="4" w:space="4" w:color="auto"/>
          <w:bottom w:val="single" w:sz="4" w:space="1" w:color="auto"/>
          <w:right w:val="single" w:sz="4" w:space="4" w:color="auto"/>
        </w:pBdr>
        <w:jc w:val="center"/>
        <w:outlineLvl w:val="0"/>
        <w:rPr>
          <w:b/>
          <w:color w:val="00B0F0"/>
          <w:sz w:val="28"/>
          <w:szCs w:val="24"/>
          <w:u w:val="single"/>
        </w:rPr>
      </w:pPr>
      <w:bookmarkStart w:id="64" w:name="_Toc351126778"/>
      <w:r w:rsidRPr="00BB4E8F">
        <w:rPr>
          <w:b/>
          <w:color w:val="00B0F0"/>
          <w:sz w:val="28"/>
          <w:szCs w:val="24"/>
          <w:u w:val="single"/>
        </w:rPr>
        <w:t>Partie 3 : Analyse prospective des résultats d’une compagnie d’assurance</w:t>
      </w:r>
      <w:bookmarkEnd w:id="64"/>
    </w:p>
    <w:p w:rsidR="00806FB8" w:rsidRPr="00A83B39" w:rsidRDefault="00806FB8" w:rsidP="00806FB8">
      <w:pPr>
        <w:pStyle w:val="ListParagraph"/>
        <w:ind w:left="357"/>
        <w:contextualSpacing w:val="0"/>
        <w:outlineLvl w:val="1"/>
        <w:rPr>
          <w:rFonts w:ascii="ArialMT" w:hAnsi="ArialMT" w:cs="ArialMT"/>
          <w:color w:val="000000"/>
          <w:szCs w:val="22"/>
        </w:rPr>
      </w:pPr>
    </w:p>
    <w:p w:rsidR="00806FB8" w:rsidRPr="00927619" w:rsidRDefault="00806FB8" w:rsidP="00806FB8">
      <w:pPr>
        <w:spacing w:before="100" w:beforeAutospacing="1" w:after="100" w:afterAutospacing="1"/>
        <w:rPr>
          <w:b/>
          <w:sz w:val="24"/>
          <w:szCs w:val="24"/>
        </w:rPr>
      </w:pPr>
      <w:bookmarkStart w:id="65" w:name="_Toc351126779"/>
      <w:r w:rsidRPr="00927619">
        <w:rPr>
          <w:b/>
          <w:sz w:val="24"/>
          <w:szCs w:val="24"/>
        </w:rPr>
        <w:t>Plan de la partie :</w:t>
      </w:r>
    </w:p>
    <w:p w:rsidR="00806FB8" w:rsidRPr="00A83B39" w:rsidRDefault="00806FB8" w:rsidP="00806FB8">
      <w:pPr>
        <w:numPr>
          <w:ilvl w:val="0"/>
          <w:numId w:val="7"/>
        </w:numPr>
        <w:spacing w:before="100" w:beforeAutospacing="1" w:after="100" w:afterAutospacing="1"/>
        <w:rPr>
          <w:sz w:val="24"/>
          <w:szCs w:val="24"/>
        </w:rPr>
      </w:pPr>
      <w:r w:rsidRPr="00A83B39">
        <w:rPr>
          <w:sz w:val="24"/>
          <w:szCs w:val="24"/>
        </w:rPr>
        <w:t>Marges en assurance vie et non vie</w:t>
      </w:r>
    </w:p>
    <w:p w:rsidR="00806FB8" w:rsidRPr="00A83B39" w:rsidRDefault="00806FB8" w:rsidP="00806FB8">
      <w:pPr>
        <w:numPr>
          <w:ilvl w:val="0"/>
          <w:numId w:val="7"/>
        </w:numPr>
        <w:spacing w:before="100" w:beforeAutospacing="1" w:after="100" w:afterAutospacing="1"/>
        <w:rPr>
          <w:sz w:val="24"/>
          <w:szCs w:val="24"/>
        </w:rPr>
      </w:pPr>
      <w:r w:rsidRPr="00A83B39">
        <w:rPr>
          <w:sz w:val="24"/>
          <w:szCs w:val="24"/>
        </w:rPr>
        <w:t>Mesure de la rentabilité et valorisation de portefeuille</w:t>
      </w:r>
    </w:p>
    <w:p w:rsidR="00806FB8" w:rsidRPr="00A83B39" w:rsidRDefault="00806FB8" w:rsidP="00806FB8">
      <w:pPr>
        <w:numPr>
          <w:ilvl w:val="0"/>
          <w:numId w:val="7"/>
        </w:numPr>
        <w:spacing w:before="100" w:beforeAutospacing="1" w:after="100" w:afterAutospacing="1"/>
        <w:rPr>
          <w:sz w:val="24"/>
          <w:szCs w:val="24"/>
        </w:rPr>
      </w:pPr>
      <w:r w:rsidRPr="00A83B39">
        <w:rPr>
          <w:sz w:val="24"/>
          <w:szCs w:val="24"/>
        </w:rPr>
        <w:t>Élaboration des budgets et des plans</w:t>
      </w:r>
    </w:p>
    <w:p w:rsidR="00806FB8" w:rsidRPr="00A83B39" w:rsidRDefault="00806FB8" w:rsidP="00806FB8">
      <w:pPr>
        <w:numPr>
          <w:ilvl w:val="0"/>
          <w:numId w:val="7"/>
        </w:numPr>
        <w:spacing w:before="100" w:beforeAutospacing="1" w:after="100" w:afterAutospacing="1"/>
        <w:rPr>
          <w:sz w:val="24"/>
          <w:szCs w:val="24"/>
        </w:rPr>
      </w:pPr>
      <w:r w:rsidRPr="00A83B39">
        <w:rPr>
          <w:sz w:val="24"/>
          <w:szCs w:val="24"/>
        </w:rPr>
        <w:t>La gestion actif-passif</w:t>
      </w:r>
    </w:p>
    <w:p w:rsidR="00806FB8" w:rsidRDefault="00806FB8" w:rsidP="00806FB8">
      <w:pPr>
        <w:pStyle w:val="ListParagraph"/>
        <w:ind w:left="357"/>
        <w:contextualSpacing w:val="0"/>
        <w:outlineLvl w:val="1"/>
        <w:rPr>
          <w:rFonts w:ascii="ArialMT" w:hAnsi="ArialMT" w:cs="ArialMT"/>
          <w:color w:val="000000"/>
          <w:szCs w:val="22"/>
        </w:rPr>
      </w:pPr>
    </w:p>
    <w:p w:rsidR="00806FB8" w:rsidRDefault="00806FB8" w:rsidP="00806FB8">
      <w:pPr>
        <w:pStyle w:val="ListParagraph"/>
        <w:ind w:left="357"/>
        <w:contextualSpacing w:val="0"/>
        <w:outlineLvl w:val="1"/>
        <w:rPr>
          <w:rFonts w:ascii="ArialMT" w:hAnsi="ArialMT" w:cs="ArialMT"/>
          <w:color w:val="000000"/>
          <w:szCs w:val="22"/>
        </w:rPr>
      </w:pPr>
    </w:p>
    <w:p w:rsidR="00806FB8" w:rsidRPr="00A83B39" w:rsidRDefault="00806FB8" w:rsidP="00806FB8">
      <w:pPr>
        <w:pStyle w:val="ListParagraph"/>
        <w:numPr>
          <w:ilvl w:val="0"/>
          <w:numId w:val="35"/>
        </w:numPr>
        <w:ind w:left="357" w:hanging="357"/>
        <w:contextualSpacing w:val="0"/>
        <w:outlineLvl w:val="1"/>
        <w:rPr>
          <w:rFonts w:ascii="ArialMT" w:hAnsi="ArialMT" w:cs="ArialMT"/>
          <w:color w:val="000000"/>
          <w:szCs w:val="22"/>
        </w:rPr>
      </w:pPr>
      <w:r w:rsidRPr="00A83B39">
        <w:rPr>
          <w:rFonts w:ascii="ArialMT" w:hAnsi="ArialMT" w:cs="ArialMT"/>
          <w:color w:val="000000"/>
          <w:szCs w:val="22"/>
        </w:rPr>
        <w:t>Construction et analyse des marges</w:t>
      </w:r>
      <w:bookmarkEnd w:id="65"/>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La construction des marges et leurs analyses suivent une logique différente selon les branches étudiées.</w:t>
      </w:r>
    </w:p>
    <w:p w:rsidR="00806FB8" w:rsidRPr="00A83B39" w:rsidRDefault="00806FB8" w:rsidP="00806FB8">
      <w:pPr>
        <w:autoSpaceDE w:val="0"/>
        <w:autoSpaceDN w:val="0"/>
        <w:adjustRightInd w:val="0"/>
        <w:jc w:val="left"/>
        <w:rPr>
          <w:rFonts w:ascii="Arial" w:hAnsi="Arial" w:cs="Arial"/>
          <w:b/>
          <w:bCs/>
          <w:color w:val="000081"/>
          <w:szCs w:val="22"/>
        </w:rPr>
      </w:pPr>
    </w:p>
    <w:p w:rsidR="00806FB8" w:rsidRPr="00A83B39" w:rsidRDefault="00806FB8" w:rsidP="00806FB8">
      <w:pPr>
        <w:pStyle w:val="ListParagraph"/>
        <w:numPr>
          <w:ilvl w:val="1"/>
          <w:numId w:val="36"/>
        </w:numPr>
        <w:ind w:left="788" w:hanging="431"/>
        <w:contextualSpacing w:val="0"/>
        <w:outlineLvl w:val="2"/>
        <w:rPr>
          <w:rFonts w:ascii="ArialMT" w:hAnsi="ArialMT" w:cs="ArialMT"/>
          <w:color w:val="000000"/>
          <w:szCs w:val="22"/>
        </w:rPr>
      </w:pPr>
      <w:r w:rsidRPr="00A83B39">
        <w:rPr>
          <w:rFonts w:ascii="ArialMT" w:hAnsi="ArialMT" w:cs="ArialMT"/>
          <w:color w:val="000000"/>
          <w:szCs w:val="22"/>
        </w:rPr>
        <w:t xml:space="preserve"> </w:t>
      </w:r>
      <w:bookmarkStart w:id="66" w:name="_Toc351126780"/>
      <w:r w:rsidRPr="00A83B39">
        <w:rPr>
          <w:rFonts w:ascii="ArialMT" w:hAnsi="ArialMT" w:cs="ArialMT"/>
          <w:color w:val="000000"/>
          <w:szCs w:val="22"/>
        </w:rPr>
        <w:t>Marges en assurance non vie</w:t>
      </w:r>
      <w:bookmarkEnd w:id="66"/>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critère de présentation des comptes sociaux est l’exercice comptable. Le résultat est donc composé d’éléments liés à l’exercice en question, ainsi que de la réévaluation des provisions pour sinistres constituées lors des exercices précédents.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Pour analyser et suivre la création du résultat il sera donc nécessaire d’établir des comptes de résultat par centre de profit. Ceux-ci seront établis selon l’organisation de l’entreprise, soit par les services d’actuariat, soit par les services de contrôle de gestion ou les services de comptabilité technique.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En s’inspirant de la présentation comptable un compte économique peut être établi de la manière suivante :</w:t>
      </w:r>
    </w:p>
    <w:p w:rsidR="00806FB8" w:rsidRPr="00A83B39" w:rsidRDefault="00806FB8" w:rsidP="00806FB8">
      <w:pPr>
        <w:autoSpaceDE w:val="0"/>
        <w:autoSpaceDN w:val="0"/>
        <w:adjustRightInd w:val="0"/>
        <w:jc w:val="left"/>
        <w:rPr>
          <w:rFonts w:ascii="ArialMT" w:hAnsi="ArialMT" w:cs="ArialMT"/>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2"/>
        <w:gridCol w:w="1610"/>
      </w:tblGrid>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sz w:val="24"/>
                <w:szCs w:val="24"/>
              </w:rPr>
              <w:t>(1) Primes émises (nettes d'annulations)</w:t>
            </w:r>
            <w:r w:rsidRPr="00A83B39">
              <w:rPr>
                <w:sz w:val="24"/>
                <w:szCs w:val="24"/>
              </w:rPr>
              <w:tab/>
            </w:r>
          </w:p>
        </w:tc>
        <w:tc>
          <w:tcPr>
            <w:tcW w:w="1610" w:type="dxa"/>
          </w:tcPr>
          <w:p w:rsidR="00806FB8" w:rsidRPr="00A83B39" w:rsidRDefault="00806FB8" w:rsidP="003F50D4">
            <w:pPr>
              <w:autoSpaceDE w:val="0"/>
              <w:autoSpaceDN w:val="0"/>
              <w:adjustRightInd w:val="0"/>
              <w:jc w:val="left"/>
              <w:rPr>
                <w:sz w:val="24"/>
                <w:szCs w:val="24"/>
              </w:rPr>
            </w:pPr>
            <w:r w:rsidRPr="00A83B39">
              <w:rPr>
                <w:sz w:val="24"/>
                <w:szCs w:val="24"/>
              </w:rPr>
              <w:t>+105</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sz w:val="24"/>
                <w:szCs w:val="24"/>
              </w:rPr>
              <w:t>(2) Variation de la provision pour primes non acquises</w:t>
            </w:r>
            <w:r w:rsidRPr="00A83B39">
              <w:rPr>
                <w:sz w:val="24"/>
                <w:szCs w:val="24"/>
              </w:rPr>
              <w:tab/>
            </w:r>
          </w:p>
        </w:tc>
        <w:tc>
          <w:tcPr>
            <w:tcW w:w="1610" w:type="dxa"/>
          </w:tcPr>
          <w:p w:rsidR="00806FB8" w:rsidRPr="00A83B39" w:rsidRDefault="00806FB8" w:rsidP="003F50D4">
            <w:pPr>
              <w:autoSpaceDE w:val="0"/>
              <w:autoSpaceDN w:val="0"/>
              <w:adjustRightInd w:val="0"/>
              <w:jc w:val="left"/>
              <w:rPr>
                <w:sz w:val="24"/>
                <w:szCs w:val="24"/>
              </w:rPr>
            </w:pPr>
            <w:r w:rsidRPr="00A83B39">
              <w:rPr>
                <w:sz w:val="24"/>
                <w:szCs w:val="24"/>
              </w:rPr>
              <w:t>-5</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b/>
                <w:bCs/>
                <w:sz w:val="24"/>
                <w:szCs w:val="24"/>
              </w:rPr>
              <w:t>(a) Primes acquises nettes d'annulations (1+2)</w:t>
            </w:r>
            <w:r w:rsidRPr="00A83B39">
              <w:rPr>
                <w:b/>
                <w:bCs/>
                <w:sz w:val="24"/>
                <w:szCs w:val="24"/>
              </w:rPr>
              <w:tab/>
            </w:r>
          </w:p>
        </w:tc>
        <w:tc>
          <w:tcPr>
            <w:tcW w:w="1610" w:type="dxa"/>
            <w:vAlign w:val="center"/>
          </w:tcPr>
          <w:p w:rsidR="00806FB8" w:rsidRPr="00A83B39" w:rsidRDefault="00806FB8" w:rsidP="003F50D4">
            <w:pPr>
              <w:autoSpaceDE w:val="0"/>
              <w:autoSpaceDN w:val="0"/>
              <w:adjustRightInd w:val="0"/>
              <w:jc w:val="right"/>
              <w:rPr>
                <w:sz w:val="24"/>
                <w:szCs w:val="24"/>
              </w:rPr>
            </w:pPr>
            <w:r w:rsidRPr="00A83B39">
              <w:rPr>
                <w:b/>
                <w:bCs/>
                <w:sz w:val="24"/>
                <w:szCs w:val="24"/>
              </w:rPr>
              <w:t>100</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sz w:val="24"/>
                <w:szCs w:val="24"/>
              </w:rPr>
              <w:t>(3) Sinistres réglés</w:t>
            </w:r>
            <w:r w:rsidRPr="00A83B39">
              <w:rPr>
                <w:sz w:val="24"/>
                <w:szCs w:val="24"/>
              </w:rPr>
              <w:tab/>
            </w:r>
          </w:p>
        </w:tc>
        <w:tc>
          <w:tcPr>
            <w:tcW w:w="1610" w:type="dxa"/>
          </w:tcPr>
          <w:p w:rsidR="00806FB8" w:rsidRPr="00A83B39" w:rsidRDefault="00806FB8" w:rsidP="003F50D4">
            <w:pPr>
              <w:autoSpaceDE w:val="0"/>
              <w:autoSpaceDN w:val="0"/>
              <w:adjustRightInd w:val="0"/>
              <w:jc w:val="left"/>
              <w:rPr>
                <w:sz w:val="24"/>
                <w:szCs w:val="24"/>
              </w:rPr>
            </w:pPr>
            <w:r w:rsidRPr="00A83B39">
              <w:rPr>
                <w:sz w:val="24"/>
                <w:szCs w:val="24"/>
              </w:rPr>
              <w:t>+50</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sz w:val="24"/>
                <w:szCs w:val="24"/>
              </w:rPr>
              <w:t xml:space="preserve">(4) Variation des provisions pour sinistres </w:t>
            </w:r>
          </w:p>
        </w:tc>
        <w:tc>
          <w:tcPr>
            <w:tcW w:w="1610" w:type="dxa"/>
          </w:tcPr>
          <w:p w:rsidR="00806FB8" w:rsidRPr="00A83B39" w:rsidRDefault="00806FB8" w:rsidP="003F50D4">
            <w:pPr>
              <w:autoSpaceDE w:val="0"/>
              <w:autoSpaceDN w:val="0"/>
              <w:adjustRightInd w:val="0"/>
              <w:jc w:val="left"/>
              <w:rPr>
                <w:sz w:val="24"/>
                <w:szCs w:val="24"/>
              </w:rPr>
            </w:pPr>
            <w:r w:rsidRPr="00A83B39">
              <w:rPr>
                <w:sz w:val="24"/>
                <w:szCs w:val="24"/>
              </w:rPr>
              <w:t>+10</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b/>
                <w:bCs/>
                <w:sz w:val="24"/>
                <w:szCs w:val="24"/>
              </w:rPr>
              <w:t>(b) Charges des sinistres (3+4)</w:t>
            </w:r>
            <w:r w:rsidRPr="00A83B39">
              <w:rPr>
                <w:b/>
                <w:bCs/>
                <w:sz w:val="24"/>
                <w:szCs w:val="24"/>
              </w:rPr>
              <w:tab/>
            </w:r>
          </w:p>
        </w:tc>
        <w:tc>
          <w:tcPr>
            <w:tcW w:w="1610" w:type="dxa"/>
            <w:vAlign w:val="center"/>
          </w:tcPr>
          <w:p w:rsidR="00806FB8" w:rsidRPr="00A83B39" w:rsidRDefault="00806FB8" w:rsidP="003F50D4">
            <w:pPr>
              <w:autoSpaceDE w:val="0"/>
              <w:autoSpaceDN w:val="0"/>
              <w:adjustRightInd w:val="0"/>
              <w:jc w:val="right"/>
              <w:rPr>
                <w:sz w:val="24"/>
                <w:szCs w:val="24"/>
              </w:rPr>
            </w:pPr>
            <w:r w:rsidRPr="00A83B39">
              <w:rPr>
                <w:b/>
                <w:bCs/>
                <w:sz w:val="24"/>
                <w:szCs w:val="24"/>
              </w:rPr>
              <w:t>-60</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sz w:val="24"/>
                <w:szCs w:val="24"/>
              </w:rPr>
              <w:t>(5) Frais de gestion des sinistres</w:t>
            </w:r>
            <w:r w:rsidRPr="00A83B39">
              <w:rPr>
                <w:sz w:val="24"/>
                <w:szCs w:val="24"/>
              </w:rPr>
              <w:tab/>
            </w:r>
          </w:p>
        </w:tc>
        <w:tc>
          <w:tcPr>
            <w:tcW w:w="1610" w:type="dxa"/>
          </w:tcPr>
          <w:p w:rsidR="00806FB8" w:rsidRPr="00A83B39" w:rsidRDefault="00806FB8" w:rsidP="003F50D4">
            <w:pPr>
              <w:autoSpaceDE w:val="0"/>
              <w:autoSpaceDN w:val="0"/>
              <w:adjustRightInd w:val="0"/>
              <w:jc w:val="left"/>
              <w:rPr>
                <w:sz w:val="24"/>
                <w:szCs w:val="24"/>
              </w:rPr>
            </w:pPr>
            <w:r w:rsidRPr="00A83B39">
              <w:rPr>
                <w:sz w:val="24"/>
                <w:szCs w:val="24"/>
              </w:rPr>
              <w:t>-10</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sz w:val="24"/>
                <w:szCs w:val="24"/>
              </w:rPr>
              <w:t xml:space="preserve">(6) Variation des provisions pour frais de gestion des sinistres </w:t>
            </w:r>
            <w:r w:rsidRPr="00A83B39">
              <w:rPr>
                <w:sz w:val="24"/>
                <w:szCs w:val="24"/>
              </w:rPr>
              <w:tab/>
            </w:r>
          </w:p>
        </w:tc>
        <w:tc>
          <w:tcPr>
            <w:tcW w:w="1610" w:type="dxa"/>
          </w:tcPr>
          <w:p w:rsidR="00806FB8" w:rsidRPr="00A83B39" w:rsidRDefault="00806FB8" w:rsidP="003F50D4">
            <w:pPr>
              <w:autoSpaceDE w:val="0"/>
              <w:autoSpaceDN w:val="0"/>
              <w:adjustRightInd w:val="0"/>
              <w:jc w:val="left"/>
              <w:rPr>
                <w:sz w:val="24"/>
                <w:szCs w:val="24"/>
              </w:rPr>
            </w:pPr>
            <w:r w:rsidRPr="00A83B39">
              <w:rPr>
                <w:sz w:val="24"/>
                <w:szCs w:val="24"/>
              </w:rPr>
              <w:t>-2</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b/>
                <w:bCs/>
                <w:sz w:val="24"/>
                <w:szCs w:val="24"/>
              </w:rPr>
              <w:t>(c)Frais de gestion des sinistres (5+6)</w:t>
            </w:r>
            <w:r w:rsidRPr="00A83B39">
              <w:rPr>
                <w:b/>
                <w:bCs/>
                <w:sz w:val="24"/>
                <w:szCs w:val="24"/>
              </w:rPr>
              <w:tab/>
            </w:r>
          </w:p>
        </w:tc>
        <w:tc>
          <w:tcPr>
            <w:tcW w:w="1610" w:type="dxa"/>
            <w:vAlign w:val="center"/>
          </w:tcPr>
          <w:p w:rsidR="00806FB8" w:rsidRPr="00A83B39" w:rsidRDefault="00806FB8" w:rsidP="003F50D4">
            <w:pPr>
              <w:autoSpaceDE w:val="0"/>
              <w:autoSpaceDN w:val="0"/>
              <w:adjustRightInd w:val="0"/>
              <w:jc w:val="right"/>
              <w:rPr>
                <w:sz w:val="24"/>
                <w:szCs w:val="24"/>
              </w:rPr>
            </w:pPr>
            <w:r w:rsidRPr="00A83B39">
              <w:rPr>
                <w:b/>
                <w:bCs/>
                <w:sz w:val="24"/>
                <w:szCs w:val="24"/>
              </w:rPr>
              <w:t>-12</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b/>
                <w:bCs/>
                <w:sz w:val="24"/>
                <w:szCs w:val="24"/>
              </w:rPr>
              <w:t>Marges technique brute (</w:t>
            </w:r>
            <w:proofErr w:type="spellStart"/>
            <w:r w:rsidRPr="00A83B39">
              <w:rPr>
                <w:b/>
                <w:bCs/>
                <w:sz w:val="24"/>
                <w:szCs w:val="24"/>
              </w:rPr>
              <w:t>a+b+c</w:t>
            </w:r>
            <w:proofErr w:type="spellEnd"/>
            <w:r w:rsidRPr="00A83B39">
              <w:rPr>
                <w:b/>
                <w:bCs/>
                <w:sz w:val="24"/>
                <w:szCs w:val="24"/>
              </w:rPr>
              <w:t xml:space="preserve">) </w:t>
            </w:r>
            <w:r w:rsidRPr="00A83B39">
              <w:rPr>
                <w:b/>
                <w:bCs/>
                <w:sz w:val="24"/>
                <w:szCs w:val="24"/>
              </w:rPr>
              <w:tab/>
            </w:r>
          </w:p>
        </w:tc>
        <w:tc>
          <w:tcPr>
            <w:tcW w:w="1610" w:type="dxa"/>
            <w:vAlign w:val="center"/>
          </w:tcPr>
          <w:p w:rsidR="00806FB8" w:rsidRPr="00A83B39" w:rsidRDefault="00806FB8" w:rsidP="003F50D4">
            <w:pPr>
              <w:autoSpaceDE w:val="0"/>
              <w:autoSpaceDN w:val="0"/>
              <w:adjustRightInd w:val="0"/>
              <w:jc w:val="right"/>
              <w:rPr>
                <w:sz w:val="24"/>
                <w:szCs w:val="24"/>
              </w:rPr>
            </w:pPr>
            <w:r w:rsidRPr="00A83B39">
              <w:rPr>
                <w:b/>
                <w:bCs/>
                <w:sz w:val="24"/>
                <w:szCs w:val="24"/>
              </w:rPr>
              <w:t>+28</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b/>
                <w:bCs/>
                <w:sz w:val="24"/>
                <w:szCs w:val="24"/>
              </w:rPr>
              <w:t xml:space="preserve">(d) Solde de réassurance </w:t>
            </w:r>
            <w:r w:rsidRPr="00A83B39">
              <w:rPr>
                <w:b/>
                <w:bCs/>
                <w:sz w:val="24"/>
                <w:szCs w:val="24"/>
              </w:rPr>
              <w:tab/>
            </w:r>
          </w:p>
        </w:tc>
        <w:tc>
          <w:tcPr>
            <w:tcW w:w="1610" w:type="dxa"/>
            <w:vAlign w:val="center"/>
          </w:tcPr>
          <w:p w:rsidR="00806FB8" w:rsidRPr="00A83B39" w:rsidRDefault="00806FB8" w:rsidP="003F50D4">
            <w:pPr>
              <w:autoSpaceDE w:val="0"/>
              <w:autoSpaceDN w:val="0"/>
              <w:adjustRightInd w:val="0"/>
              <w:jc w:val="right"/>
              <w:rPr>
                <w:sz w:val="24"/>
                <w:szCs w:val="24"/>
              </w:rPr>
            </w:pPr>
            <w:r w:rsidRPr="00A83B39">
              <w:rPr>
                <w:b/>
                <w:bCs/>
                <w:sz w:val="24"/>
                <w:szCs w:val="24"/>
              </w:rPr>
              <w:t>0</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b/>
                <w:bCs/>
                <w:sz w:val="24"/>
                <w:szCs w:val="24"/>
              </w:rPr>
              <w:t>Marge technique nette de réassurance (</w:t>
            </w:r>
            <w:proofErr w:type="spellStart"/>
            <w:r w:rsidRPr="00A83B39">
              <w:rPr>
                <w:b/>
                <w:bCs/>
                <w:sz w:val="24"/>
                <w:szCs w:val="24"/>
              </w:rPr>
              <w:t>a+b+c+d</w:t>
            </w:r>
            <w:proofErr w:type="spellEnd"/>
            <w:r w:rsidRPr="00A83B39">
              <w:rPr>
                <w:b/>
                <w:bCs/>
                <w:sz w:val="24"/>
                <w:szCs w:val="24"/>
              </w:rPr>
              <w:t xml:space="preserve">) </w:t>
            </w:r>
          </w:p>
        </w:tc>
        <w:tc>
          <w:tcPr>
            <w:tcW w:w="1610" w:type="dxa"/>
            <w:vAlign w:val="center"/>
          </w:tcPr>
          <w:p w:rsidR="00806FB8" w:rsidRPr="00A83B39" w:rsidRDefault="00806FB8" w:rsidP="003F50D4">
            <w:pPr>
              <w:autoSpaceDE w:val="0"/>
              <w:autoSpaceDN w:val="0"/>
              <w:adjustRightInd w:val="0"/>
              <w:jc w:val="right"/>
              <w:rPr>
                <w:sz w:val="24"/>
                <w:szCs w:val="24"/>
              </w:rPr>
            </w:pPr>
            <w:r w:rsidRPr="00A83B39">
              <w:rPr>
                <w:b/>
                <w:bCs/>
                <w:sz w:val="24"/>
                <w:szCs w:val="24"/>
              </w:rPr>
              <w:t>+28</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b/>
                <w:bCs/>
                <w:sz w:val="24"/>
                <w:szCs w:val="24"/>
              </w:rPr>
              <w:t xml:space="preserve">(e)Commissions </w:t>
            </w:r>
          </w:p>
        </w:tc>
        <w:tc>
          <w:tcPr>
            <w:tcW w:w="1610" w:type="dxa"/>
            <w:vAlign w:val="center"/>
          </w:tcPr>
          <w:p w:rsidR="00806FB8" w:rsidRPr="00A83B39" w:rsidRDefault="00806FB8" w:rsidP="003F50D4">
            <w:pPr>
              <w:autoSpaceDE w:val="0"/>
              <w:autoSpaceDN w:val="0"/>
              <w:adjustRightInd w:val="0"/>
              <w:jc w:val="right"/>
              <w:rPr>
                <w:sz w:val="24"/>
                <w:szCs w:val="24"/>
              </w:rPr>
            </w:pPr>
            <w:r w:rsidRPr="00A83B39">
              <w:rPr>
                <w:b/>
                <w:bCs/>
                <w:sz w:val="24"/>
                <w:szCs w:val="24"/>
              </w:rPr>
              <w:t>-10</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b/>
                <w:bCs/>
                <w:sz w:val="24"/>
                <w:szCs w:val="24"/>
              </w:rPr>
              <w:t xml:space="preserve">(f) Frais généraux </w:t>
            </w:r>
          </w:p>
        </w:tc>
        <w:tc>
          <w:tcPr>
            <w:tcW w:w="1610" w:type="dxa"/>
            <w:vAlign w:val="center"/>
          </w:tcPr>
          <w:p w:rsidR="00806FB8" w:rsidRPr="00A83B39" w:rsidRDefault="00806FB8" w:rsidP="003F50D4">
            <w:pPr>
              <w:autoSpaceDE w:val="0"/>
              <w:autoSpaceDN w:val="0"/>
              <w:adjustRightInd w:val="0"/>
              <w:jc w:val="right"/>
              <w:rPr>
                <w:sz w:val="24"/>
                <w:szCs w:val="24"/>
              </w:rPr>
            </w:pPr>
            <w:r w:rsidRPr="00A83B39">
              <w:rPr>
                <w:b/>
                <w:bCs/>
                <w:sz w:val="24"/>
                <w:szCs w:val="24"/>
              </w:rPr>
              <w:t>-15</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b/>
                <w:bCs/>
                <w:sz w:val="24"/>
                <w:szCs w:val="24"/>
              </w:rPr>
              <w:t>Marge technique nette de réassurance et de frais (</w:t>
            </w:r>
            <w:proofErr w:type="spellStart"/>
            <w:r w:rsidRPr="00A83B39">
              <w:rPr>
                <w:b/>
                <w:bCs/>
                <w:sz w:val="24"/>
                <w:szCs w:val="24"/>
              </w:rPr>
              <w:t>a+b+c+d+e+f</w:t>
            </w:r>
            <w:proofErr w:type="spellEnd"/>
            <w:r w:rsidRPr="00A83B39">
              <w:rPr>
                <w:b/>
                <w:bCs/>
                <w:sz w:val="24"/>
                <w:szCs w:val="24"/>
              </w:rPr>
              <w:t>)</w:t>
            </w:r>
            <w:r w:rsidRPr="00A83B39">
              <w:rPr>
                <w:b/>
                <w:bCs/>
                <w:sz w:val="24"/>
                <w:szCs w:val="24"/>
              </w:rPr>
              <w:tab/>
            </w:r>
          </w:p>
        </w:tc>
        <w:tc>
          <w:tcPr>
            <w:tcW w:w="1610" w:type="dxa"/>
            <w:vAlign w:val="center"/>
          </w:tcPr>
          <w:p w:rsidR="00806FB8" w:rsidRPr="00A83B39" w:rsidRDefault="00806FB8" w:rsidP="003F50D4">
            <w:pPr>
              <w:autoSpaceDE w:val="0"/>
              <w:autoSpaceDN w:val="0"/>
              <w:adjustRightInd w:val="0"/>
              <w:jc w:val="right"/>
              <w:rPr>
                <w:sz w:val="24"/>
                <w:szCs w:val="24"/>
              </w:rPr>
            </w:pPr>
            <w:r w:rsidRPr="00A83B39">
              <w:rPr>
                <w:b/>
                <w:bCs/>
                <w:sz w:val="24"/>
                <w:szCs w:val="24"/>
              </w:rPr>
              <w:t>+3</w:t>
            </w:r>
          </w:p>
        </w:tc>
      </w:tr>
      <w:tr w:rsidR="00806FB8" w:rsidRPr="00A83B39" w:rsidTr="003F50D4">
        <w:tc>
          <w:tcPr>
            <w:tcW w:w="7602" w:type="dxa"/>
          </w:tcPr>
          <w:p w:rsidR="00806FB8" w:rsidRPr="00A83B39" w:rsidRDefault="00806FB8" w:rsidP="003F50D4">
            <w:pPr>
              <w:autoSpaceDE w:val="0"/>
              <w:autoSpaceDN w:val="0"/>
              <w:adjustRightInd w:val="0"/>
              <w:jc w:val="left"/>
              <w:rPr>
                <w:sz w:val="24"/>
                <w:szCs w:val="24"/>
              </w:rPr>
            </w:pPr>
            <w:r w:rsidRPr="00A83B39">
              <w:rPr>
                <w:b/>
                <w:bCs/>
                <w:sz w:val="24"/>
                <w:szCs w:val="24"/>
              </w:rPr>
              <w:t xml:space="preserve">(g) Produits financiers </w:t>
            </w:r>
            <w:r w:rsidRPr="00A83B39">
              <w:rPr>
                <w:b/>
                <w:bCs/>
                <w:sz w:val="24"/>
                <w:szCs w:val="24"/>
              </w:rPr>
              <w:tab/>
            </w:r>
          </w:p>
        </w:tc>
        <w:tc>
          <w:tcPr>
            <w:tcW w:w="1610" w:type="dxa"/>
            <w:vAlign w:val="center"/>
          </w:tcPr>
          <w:p w:rsidR="00806FB8" w:rsidRPr="00A83B39" w:rsidRDefault="00806FB8" w:rsidP="003F50D4">
            <w:pPr>
              <w:autoSpaceDE w:val="0"/>
              <w:autoSpaceDN w:val="0"/>
              <w:adjustRightInd w:val="0"/>
              <w:jc w:val="right"/>
              <w:rPr>
                <w:sz w:val="24"/>
                <w:szCs w:val="24"/>
              </w:rPr>
            </w:pPr>
            <w:r w:rsidRPr="00A83B39">
              <w:rPr>
                <w:b/>
                <w:bCs/>
                <w:sz w:val="24"/>
                <w:szCs w:val="24"/>
              </w:rPr>
              <w:t>+4</w:t>
            </w:r>
          </w:p>
        </w:tc>
      </w:tr>
      <w:tr w:rsidR="00806FB8" w:rsidRPr="00A83B39" w:rsidTr="003F50D4">
        <w:tc>
          <w:tcPr>
            <w:tcW w:w="7602" w:type="dxa"/>
          </w:tcPr>
          <w:p w:rsidR="00806FB8" w:rsidRPr="00A83B39" w:rsidRDefault="00806FB8" w:rsidP="003F50D4">
            <w:pPr>
              <w:autoSpaceDE w:val="0"/>
              <w:autoSpaceDN w:val="0"/>
              <w:adjustRightInd w:val="0"/>
              <w:jc w:val="left"/>
              <w:rPr>
                <w:b/>
                <w:bCs/>
                <w:sz w:val="24"/>
                <w:szCs w:val="24"/>
              </w:rPr>
            </w:pPr>
            <w:r w:rsidRPr="00A83B39">
              <w:rPr>
                <w:b/>
                <w:bCs/>
                <w:sz w:val="24"/>
                <w:szCs w:val="24"/>
              </w:rPr>
              <w:t>Résultats technico-financier (</w:t>
            </w:r>
            <w:proofErr w:type="spellStart"/>
            <w:r w:rsidRPr="00A83B39">
              <w:rPr>
                <w:b/>
                <w:bCs/>
                <w:sz w:val="24"/>
                <w:szCs w:val="24"/>
              </w:rPr>
              <w:t>a+b+c+d+e+f+g</w:t>
            </w:r>
            <w:proofErr w:type="spellEnd"/>
            <w:r w:rsidRPr="00A83B39">
              <w:rPr>
                <w:b/>
                <w:bCs/>
                <w:sz w:val="24"/>
                <w:szCs w:val="24"/>
              </w:rPr>
              <w:t>)</w:t>
            </w:r>
          </w:p>
        </w:tc>
        <w:tc>
          <w:tcPr>
            <w:tcW w:w="1610" w:type="dxa"/>
            <w:vAlign w:val="center"/>
          </w:tcPr>
          <w:p w:rsidR="00806FB8" w:rsidRPr="00A83B39" w:rsidRDefault="00806FB8" w:rsidP="003F50D4">
            <w:pPr>
              <w:autoSpaceDE w:val="0"/>
              <w:autoSpaceDN w:val="0"/>
              <w:adjustRightInd w:val="0"/>
              <w:jc w:val="right"/>
              <w:rPr>
                <w:b/>
                <w:bCs/>
                <w:sz w:val="24"/>
                <w:szCs w:val="24"/>
              </w:rPr>
            </w:pPr>
            <w:r w:rsidRPr="00A83B39">
              <w:rPr>
                <w:b/>
                <w:bCs/>
                <w:sz w:val="24"/>
                <w:szCs w:val="24"/>
              </w:rPr>
              <w:t>+7</w:t>
            </w:r>
          </w:p>
        </w:tc>
      </w:tr>
    </w:tbl>
    <w:p w:rsidR="00806FB8" w:rsidRPr="00A83B39" w:rsidRDefault="00806FB8" w:rsidP="00806FB8">
      <w:pPr>
        <w:autoSpaceDE w:val="0"/>
        <w:autoSpaceDN w:val="0"/>
        <w:adjustRightInd w:val="0"/>
        <w:jc w:val="left"/>
        <w:rPr>
          <w:rFonts w:ascii="Arial" w:hAnsi="Arial" w:cs="Arial"/>
          <w:b/>
          <w:bCs/>
          <w:szCs w:val="22"/>
        </w:rPr>
      </w:pPr>
      <w:r w:rsidRPr="00A83B39">
        <w:rPr>
          <w:rFonts w:ascii="Arial" w:hAnsi="Arial" w:cs="Arial"/>
          <w:b/>
          <w:bCs/>
          <w:szCs w:val="22"/>
        </w:rPr>
        <w:tab/>
      </w:r>
    </w:p>
    <w:p w:rsidR="00806FB8" w:rsidRPr="00A83B39" w:rsidRDefault="00806FB8" w:rsidP="00806FB8">
      <w:pPr>
        <w:autoSpaceDE w:val="0"/>
        <w:autoSpaceDN w:val="0"/>
        <w:adjustRightInd w:val="0"/>
        <w:rPr>
          <w:sz w:val="24"/>
          <w:szCs w:val="24"/>
        </w:rPr>
      </w:pPr>
      <w:r w:rsidRPr="00A83B39">
        <w:rPr>
          <w:sz w:val="24"/>
          <w:szCs w:val="24"/>
        </w:rPr>
        <w:t>Ce compte peut être établi en fonction des besoins de suivi, par produits, par garanties ou segment de clientèle. L’entreprise peut donc se trouver face à des difficultés en termes de récupération et répartition des données. La qualité de la restitution va donc dépendre en grande partie de la qualité des infocentres d’où elles seront extraites.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Cette présentation est relativement simple. Elle permet de calculer les principaux ratios d’activité : S/P, ratio de frais, ratio combiné ce qui permettra de suivre les résultats par rapport à des objectifs préalablement fixés. Cependant elle présente le même défaut que la présentation comptable puisqu’elle agrège le résultat issu des affaires de l’année et le résultat lié à la liquidation des sinistres issus des exercices antérieurs.</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1"/>
          <w:numId w:val="36"/>
        </w:numPr>
        <w:ind w:left="788" w:hanging="431"/>
        <w:contextualSpacing w:val="0"/>
        <w:outlineLvl w:val="2"/>
        <w:rPr>
          <w:rFonts w:ascii="ArialMT" w:hAnsi="ArialMT" w:cs="ArialMT"/>
          <w:color w:val="000000"/>
          <w:szCs w:val="22"/>
        </w:rPr>
      </w:pPr>
      <w:bookmarkStart w:id="67" w:name="_Toc351126781"/>
      <w:r w:rsidRPr="00A83B39">
        <w:rPr>
          <w:rFonts w:ascii="ArialMT" w:hAnsi="ArialMT" w:cs="ArialMT"/>
          <w:color w:val="000000"/>
          <w:szCs w:val="22"/>
        </w:rPr>
        <w:t>Marges en assurance vie</w:t>
      </w:r>
      <w:bookmarkEnd w:id="67"/>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En assurance vie les garanties offertes peuvent être séparées en deux catégories :</w:t>
      </w:r>
    </w:p>
    <w:p w:rsidR="00806FB8" w:rsidRPr="00A83B39" w:rsidRDefault="00806FB8" w:rsidP="00806FB8">
      <w:pPr>
        <w:autoSpaceDE w:val="0"/>
        <w:autoSpaceDN w:val="0"/>
        <w:adjustRightInd w:val="0"/>
        <w:rPr>
          <w:color w:val="000000"/>
          <w:sz w:val="24"/>
          <w:szCs w:val="24"/>
        </w:rPr>
      </w:pPr>
      <w:r w:rsidRPr="00A83B39">
        <w:rPr>
          <w:color w:val="000000"/>
          <w:sz w:val="24"/>
          <w:szCs w:val="24"/>
        </w:rPr>
        <w:t>•Les garanties en cas de décès, il s’agit d’opérations de prévoyance ;</w:t>
      </w:r>
    </w:p>
    <w:p w:rsidR="00806FB8" w:rsidRPr="00A83B39" w:rsidRDefault="00806FB8" w:rsidP="00806FB8">
      <w:pPr>
        <w:autoSpaceDE w:val="0"/>
        <w:autoSpaceDN w:val="0"/>
        <w:adjustRightInd w:val="0"/>
        <w:rPr>
          <w:color w:val="000000"/>
          <w:sz w:val="24"/>
          <w:szCs w:val="24"/>
        </w:rPr>
      </w:pPr>
      <w:r w:rsidRPr="00A83B39">
        <w:rPr>
          <w:color w:val="000000"/>
          <w:sz w:val="24"/>
          <w:szCs w:val="24"/>
        </w:rPr>
        <w:t>•Les garanties en cas de vie, qui correspondent en général à des opérations d’épargne.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sz w:val="24"/>
          <w:szCs w:val="24"/>
        </w:rPr>
      </w:pPr>
      <w:r w:rsidRPr="00A83B39">
        <w:rPr>
          <w:sz w:val="24"/>
          <w:szCs w:val="24"/>
        </w:rPr>
        <w:t>En assurance vie le compte de résultat dans sa présentation légale ne permet pas de connaitre et analyser l’origine des marges dégagées par la société. Il ne permet pas de distinguer si le résultat provient de garanties d’épargne ou de garanties de prévoyance.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Il ne permet pas de savoir si les marges sont de nature:</w:t>
      </w:r>
    </w:p>
    <w:p w:rsidR="00806FB8" w:rsidRPr="00A83B39" w:rsidRDefault="00806FB8" w:rsidP="00806FB8">
      <w:pPr>
        <w:autoSpaceDE w:val="0"/>
        <w:autoSpaceDN w:val="0"/>
        <w:adjustRightInd w:val="0"/>
        <w:rPr>
          <w:sz w:val="24"/>
          <w:szCs w:val="24"/>
        </w:rPr>
      </w:pPr>
      <w:r w:rsidRPr="00A83B39">
        <w:rPr>
          <w:sz w:val="24"/>
          <w:szCs w:val="24"/>
        </w:rPr>
        <w:t>•</w:t>
      </w:r>
      <w:r w:rsidRPr="00A83B39">
        <w:rPr>
          <w:b/>
          <w:bCs/>
          <w:sz w:val="24"/>
          <w:szCs w:val="24"/>
        </w:rPr>
        <w:t>techniques</w:t>
      </w:r>
      <w:r w:rsidRPr="00A83B39">
        <w:rPr>
          <w:sz w:val="24"/>
          <w:szCs w:val="24"/>
        </w:rPr>
        <w:t>, c'est-à-dire issues d’écarts entre la mortalité observée et la mortalité prévue au tarif ;</w:t>
      </w:r>
    </w:p>
    <w:p w:rsidR="00806FB8" w:rsidRPr="00A83B39" w:rsidRDefault="00806FB8" w:rsidP="00806FB8">
      <w:pPr>
        <w:autoSpaceDE w:val="0"/>
        <w:autoSpaceDN w:val="0"/>
        <w:adjustRightInd w:val="0"/>
        <w:rPr>
          <w:sz w:val="24"/>
          <w:szCs w:val="24"/>
        </w:rPr>
      </w:pPr>
      <w:r w:rsidRPr="00A83B39">
        <w:rPr>
          <w:sz w:val="24"/>
          <w:szCs w:val="24"/>
        </w:rPr>
        <w:t>•</w:t>
      </w:r>
      <w:r w:rsidRPr="00A83B39">
        <w:rPr>
          <w:b/>
          <w:bCs/>
          <w:sz w:val="24"/>
          <w:szCs w:val="24"/>
        </w:rPr>
        <w:t>administratives</w:t>
      </w:r>
      <w:r w:rsidRPr="00A83B39">
        <w:rPr>
          <w:sz w:val="24"/>
          <w:szCs w:val="24"/>
        </w:rPr>
        <w:t>, c'est-à-dire issues d’écarts entre les différents frais de gestion prélevés aux clients et les frais internes et externes ;</w:t>
      </w:r>
    </w:p>
    <w:p w:rsidR="00806FB8" w:rsidRPr="00A83B39" w:rsidRDefault="00806FB8" w:rsidP="00806FB8">
      <w:pPr>
        <w:autoSpaceDE w:val="0"/>
        <w:autoSpaceDN w:val="0"/>
        <w:adjustRightInd w:val="0"/>
        <w:rPr>
          <w:sz w:val="24"/>
          <w:szCs w:val="24"/>
        </w:rPr>
      </w:pPr>
      <w:r w:rsidRPr="00A83B39">
        <w:rPr>
          <w:sz w:val="24"/>
          <w:szCs w:val="24"/>
        </w:rPr>
        <w:t>•</w:t>
      </w:r>
      <w:r w:rsidRPr="00A83B39">
        <w:rPr>
          <w:b/>
          <w:bCs/>
          <w:sz w:val="24"/>
          <w:szCs w:val="24"/>
        </w:rPr>
        <w:t>financières</w:t>
      </w:r>
      <w:r w:rsidRPr="00A83B39">
        <w:rPr>
          <w:sz w:val="24"/>
          <w:szCs w:val="24"/>
        </w:rPr>
        <w:t>, c'est-à-dire issues d’écarts entre les produits financiers et les intérêts techniques et la participation aux bénéfices servie aux assurés.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lastRenderedPageBreak/>
        <w:t>Il est donc nécessaire d’établir des comptes économiques par produits ou nature de produits.</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2"/>
          <w:numId w:val="36"/>
        </w:numPr>
        <w:autoSpaceDE w:val="0"/>
        <w:autoSpaceDN w:val="0"/>
        <w:adjustRightInd w:val="0"/>
        <w:ind w:left="1225" w:hanging="505"/>
        <w:jc w:val="left"/>
        <w:outlineLvl w:val="3"/>
        <w:rPr>
          <w:rFonts w:ascii="ArialMT" w:hAnsi="ArialMT" w:cs="ArialMT"/>
          <w:color w:val="000000"/>
          <w:szCs w:val="22"/>
        </w:rPr>
      </w:pPr>
      <w:bookmarkStart w:id="68" w:name="_Toc351126782"/>
      <w:r w:rsidRPr="00A83B39">
        <w:rPr>
          <w:rFonts w:ascii="ArialMT" w:hAnsi="ArialMT" w:cs="ArialMT"/>
          <w:color w:val="000000"/>
          <w:szCs w:val="22"/>
        </w:rPr>
        <w:t>Assurances en cas de décès</w:t>
      </w:r>
      <w:bookmarkEnd w:id="68"/>
    </w:p>
    <w:p w:rsidR="00806FB8" w:rsidRPr="00A83B39" w:rsidRDefault="00806FB8" w:rsidP="00806FB8">
      <w:pPr>
        <w:autoSpaceDE w:val="0"/>
        <w:autoSpaceDN w:val="0"/>
        <w:adjustRightInd w:val="0"/>
        <w:rPr>
          <w:sz w:val="24"/>
          <w:szCs w:val="24"/>
        </w:rPr>
      </w:pPr>
      <w:r w:rsidRPr="00A83B39">
        <w:rPr>
          <w:sz w:val="24"/>
          <w:szCs w:val="24"/>
        </w:rPr>
        <w:t>Une assurance en cas de décès prévoit le versement d’un capital (ou d’une rente) en cas de décès de l’assuré, durant la période de garantie du contrat, et à condition que le décès ne fasse pas l’objet d’une clause d’exclusion au contrat. Les principaux contrats d’assurance décès sont les « temporaires décès » et les contrats « vie entière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Les « temporaires décès »</w:t>
      </w:r>
    </w:p>
    <w:p w:rsidR="00806FB8" w:rsidRPr="00A83B39" w:rsidRDefault="00806FB8" w:rsidP="00806FB8">
      <w:pPr>
        <w:autoSpaceDE w:val="0"/>
        <w:autoSpaceDN w:val="0"/>
        <w:adjustRightInd w:val="0"/>
        <w:rPr>
          <w:sz w:val="24"/>
          <w:szCs w:val="24"/>
        </w:rPr>
      </w:pPr>
      <w:r w:rsidRPr="00A83B39">
        <w:rPr>
          <w:sz w:val="24"/>
          <w:szCs w:val="24"/>
        </w:rPr>
        <w:t>Dans un contrat « temporaires décès » l’assureur s’engage à verser un capital en cas de décès de l’assuré dans une période déterminée, en contrepartie du règlement d’une prime unique ou de primes périodiques. La réalisation de la prestation est donc incertaine.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Les contrats « vie entière »</w:t>
      </w:r>
    </w:p>
    <w:p w:rsidR="00806FB8" w:rsidRDefault="00806FB8" w:rsidP="00806FB8">
      <w:pPr>
        <w:autoSpaceDE w:val="0"/>
        <w:autoSpaceDN w:val="0"/>
        <w:adjustRightInd w:val="0"/>
        <w:rPr>
          <w:sz w:val="24"/>
          <w:szCs w:val="24"/>
        </w:rPr>
      </w:pPr>
      <w:r w:rsidRPr="00A83B39">
        <w:rPr>
          <w:sz w:val="24"/>
          <w:szCs w:val="24"/>
        </w:rPr>
        <w:t>Dans ce type de contrat l’assureur s’engage à verser un capital au décès de l’assuré, quelle que soit sa date de survenance. L’assuré verse soit une prime unique, soit des primes périodiques qui peuvent être fixées pour une durée limitée (temporaire) ou viagère (jusqu’au décès). La réalisation de l’événement est donc certaine, mais la date de réalisation de celui-ci est aléatoire. On rencontre ce type de contrat essentiellement dans le cadre d’assurance obsèques.</w:t>
      </w:r>
    </w:p>
    <w:p w:rsidR="00806FB8"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Analyse des marges dans le cadre d’une garantie décès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compte de résultat analytique peut être présenté ainsi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i/>
          <w:iCs/>
          <w:sz w:val="24"/>
          <w:szCs w:val="24"/>
        </w:rPr>
      </w:pPr>
      <w:r w:rsidRPr="00A83B39">
        <w:rPr>
          <w:i/>
          <w:iCs/>
          <w:sz w:val="24"/>
          <w:szCs w:val="24"/>
        </w:rPr>
        <w:t>Structure d'un compte de résultat de type temporaire décès</w:t>
      </w:r>
    </w:p>
    <w:p w:rsidR="00806FB8" w:rsidRPr="00A83B39" w:rsidRDefault="00806FB8" w:rsidP="00806FB8">
      <w:pPr>
        <w:autoSpaceDE w:val="0"/>
        <w:autoSpaceDN w:val="0"/>
        <w:adjustRightInd w:val="0"/>
        <w:jc w:val="left"/>
        <w:rPr>
          <w:rFonts w:ascii="Arial" w:hAnsi="Arial" w:cs="Arial"/>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7"/>
        <w:gridCol w:w="2765"/>
      </w:tblGrid>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(1) Prime pure brute acquise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100</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(2) Sinistres bruts payés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-60</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(3) Variation brute de provisions pour sinistres à payer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-10</w:t>
            </w:r>
          </w:p>
        </w:tc>
      </w:tr>
      <w:tr w:rsidR="00806FB8" w:rsidRPr="00A83B39" w:rsidTr="003F50D4">
        <w:tc>
          <w:tcPr>
            <w:tcW w:w="6447" w:type="dxa"/>
          </w:tcPr>
          <w:p w:rsidR="00806FB8" w:rsidRPr="00A83B39" w:rsidRDefault="00806FB8" w:rsidP="003F50D4">
            <w:pPr>
              <w:autoSpaceDE w:val="0"/>
              <w:autoSpaceDN w:val="0"/>
              <w:adjustRightInd w:val="0"/>
              <w:jc w:val="left"/>
              <w:rPr>
                <w:b/>
                <w:bCs/>
                <w:sz w:val="24"/>
                <w:szCs w:val="24"/>
              </w:rPr>
            </w:pPr>
            <w:r w:rsidRPr="00A83B39">
              <w:rPr>
                <w:b/>
                <w:bCs/>
                <w:sz w:val="24"/>
                <w:szCs w:val="24"/>
              </w:rPr>
              <w:t xml:space="preserve">(a) Marge technique brute (1+2+3) </w:t>
            </w:r>
          </w:p>
        </w:tc>
        <w:tc>
          <w:tcPr>
            <w:tcW w:w="2765" w:type="dxa"/>
            <w:vAlign w:val="center"/>
          </w:tcPr>
          <w:p w:rsidR="00806FB8" w:rsidRPr="00A83B39" w:rsidRDefault="00806FB8" w:rsidP="003F50D4">
            <w:pPr>
              <w:autoSpaceDE w:val="0"/>
              <w:autoSpaceDN w:val="0"/>
              <w:adjustRightInd w:val="0"/>
              <w:jc w:val="right"/>
              <w:rPr>
                <w:b/>
                <w:bCs/>
                <w:sz w:val="24"/>
                <w:szCs w:val="24"/>
              </w:rPr>
            </w:pPr>
            <w:r w:rsidRPr="00A83B39">
              <w:rPr>
                <w:b/>
                <w:bCs/>
                <w:sz w:val="24"/>
                <w:szCs w:val="24"/>
              </w:rPr>
              <w:t>30</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(4) Chargement sur primes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10</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(5) Chargement sur capital décès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5</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(6) Commissions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-10</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(7) Frais généraux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-8</w:t>
            </w:r>
          </w:p>
        </w:tc>
      </w:tr>
      <w:tr w:rsidR="00806FB8" w:rsidRPr="00A83B39" w:rsidTr="003F50D4">
        <w:tc>
          <w:tcPr>
            <w:tcW w:w="6447" w:type="dxa"/>
          </w:tcPr>
          <w:p w:rsidR="00806FB8" w:rsidRPr="00A83B39" w:rsidRDefault="00806FB8" w:rsidP="003F50D4">
            <w:pPr>
              <w:autoSpaceDE w:val="0"/>
              <w:autoSpaceDN w:val="0"/>
              <w:adjustRightInd w:val="0"/>
              <w:jc w:val="left"/>
              <w:rPr>
                <w:b/>
                <w:bCs/>
                <w:sz w:val="24"/>
                <w:szCs w:val="24"/>
              </w:rPr>
            </w:pPr>
            <w:r w:rsidRPr="00A83B39">
              <w:rPr>
                <w:b/>
                <w:bCs/>
                <w:sz w:val="24"/>
                <w:szCs w:val="24"/>
              </w:rPr>
              <w:t xml:space="preserve">(b) Marge administrative (4+5+6+7) </w:t>
            </w:r>
          </w:p>
        </w:tc>
        <w:tc>
          <w:tcPr>
            <w:tcW w:w="2765" w:type="dxa"/>
            <w:vAlign w:val="center"/>
          </w:tcPr>
          <w:p w:rsidR="00806FB8" w:rsidRPr="00A83B39" w:rsidRDefault="00806FB8" w:rsidP="003F50D4">
            <w:pPr>
              <w:autoSpaceDE w:val="0"/>
              <w:autoSpaceDN w:val="0"/>
              <w:adjustRightInd w:val="0"/>
              <w:jc w:val="right"/>
              <w:rPr>
                <w:b/>
                <w:bCs/>
                <w:sz w:val="24"/>
                <w:szCs w:val="24"/>
              </w:rPr>
            </w:pPr>
            <w:r w:rsidRPr="00A83B39">
              <w:rPr>
                <w:b/>
                <w:bCs/>
                <w:sz w:val="24"/>
                <w:szCs w:val="24"/>
              </w:rPr>
              <w:t>-3</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(8) Produits financiers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5</w:t>
            </w:r>
          </w:p>
        </w:tc>
      </w:tr>
      <w:tr w:rsidR="00806FB8" w:rsidRPr="00A83B39" w:rsidTr="003F50D4">
        <w:tc>
          <w:tcPr>
            <w:tcW w:w="6447" w:type="dxa"/>
          </w:tcPr>
          <w:p w:rsidR="00806FB8" w:rsidRPr="00A83B39" w:rsidRDefault="00806FB8" w:rsidP="003F50D4">
            <w:pPr>
              <w:autoSpaceDE w:val="0"/>
              <w:autoSpaceDN w:val="0"/>
              <w:adjustRightInd w:val="0"/>
              <w:jc w:val="left"/>
              <w:rPr>
                <w:b/>
                <w:bCs/>
                <w:sz w:val="24"/>
                <w:szCs w:val="24"/>
              </w:rPr>
            </w:pPr>
            <w:r w:rsidRPr="00A83B39">
              <w:rPr>
                <w:b/>
                <w:bCs/>
                <w:sz w:val="24"/>
                <w:szCs w:val="24"/>
              </w:rPr>
              <w:t xml:space="preserve">(c) Marge financière (8) </w:t>
            </w:r>
          </w:p>
        </w:tc>
        <w:tc>
          <w:tcPr>
            <w:tcW w:w="2765" w:type="dxa"/>
            <w:vAlign w:val="center"/>
          </w:tcPr>
          <w:p w:rsidR="00806FB8" w:rsidRPr="00A83B39" w:rsidRDefault="00806FB8" w:rsidP="003F50D4">
            <w:pPr>
              <w:autoSpaceDE w:val="0"/>
              <w:autoSpaceDN w:val="0"/>
              <w:adjustRightInd w:val="0"/>
              <w:jc w:val="right"/>
              <w:rPr>
                <w:b/>
                <w:bCs/>
                <w:sz w:val="24"/>
                <w:szCs w:val="24"/>
              </w:rPr>
            </w:pPr>
            <w:r w:rsidRPr="00A83B39">
              <w:rPr>
                <w:b/>
                <w:bCs/>
                <w:sz w:val="24"/>
                <w:szCs w:val="24"/>
              </w:rPr>
              <w:t>5</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(9) Primes cédées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-20</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(10) Sinistres à la charge des réassureurs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12</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(11) Variation </w:t>
            </w:r>
            <w:proofErr w:type="spellStart"/>
            <w:r w:rsidRPr="00A83B39">
              <w:rPr>
                <w:sz w:val="24"/>
                <w:szCs w:val="24"/>
              </w:rPr>
              <w:t>psap</w:t>
            </w:r>
            <w:proofErr w:type="spellEnd"/>
            <w:r w:rsidRPr="00A83B39">
              <w:rPr>
                <w:sz w:val="24"/>
                <w:szCs w:val="24"/>
              </w:rPr>
              <w:t xml:space="preserve"> à la charge des réassureurs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-2</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sz w:val="24"/>
                <w:szCs w:val="24"/>
              </w:rPr>
              <w:t xml:space="preserve">(12) commissions de réassurance </w:t>
            </w:r>
          </w:p>
        </w:tc>
        <w:tc>
          <w:tcPr>
            <w:tcW w:w="2765" w:type="dxa"/>
          </w:tcPr>
          <w:p w:rsidR="00806FB8" w:rsidRPr="00A83B39" w:rsidRDefault="00806FB8" w:rsidP="003F50D4">
            <w:pPr>
              <w:autoSpaceDE w:val="0"/>
              <w:autoSpaceDN w:val="0"/>
              <w:adjustRightInd w:val="0"/>
              <w:jc w:val="left"/>
              <w:rPr>
                <w:sz w:val="24"/>
                <w:szCs w:val="24"/>
              </w:rPr>
            </w:pPr>
            <w:r w:rsidRPr="00A83B39">
              <w:rPr>
                <w:sz w:val="24"/>
                <w:szCs w:val="24"/>
              </w:rPr>
              <w:t>2</w:t>
            </w:r>
          </w:p>
        </w:tc>
      </w:tr>
      <w:tr w:rsidR="00806FB8" w:rsidRPr="00A83B39" w:rsidTr="003F50D4">
        <w:tc>
          <w:tcPr>
            <w:tcW w:w="6447" w:type="dxa"/>
          </w:tcPr>
          <w:p w:rsidR="00806FB8" w:rsidRPr="00A83B39" w:rsidRDefault="00806FB8" w:rsidP="003F50D4">
            <w:pPr>
              <w:autoSpaceDE w:val="0"/>
              <w:autoSpaceDN w:val="0"/>
              <w:adjustRightInd w:val="0"/>
              <w:jc w:val="left"/>
              <w:rPr>
                <w:b/>
                <w:bCs/>
                <w:sz w:val="24"/>
                <w:szCs w:val="24"/>
              </w:rPr>
            </w:pPr>
            <w:r w:rsidRPr="00A83B39">
              <w:rPr>
                <w:b/>
                <w:bCs/>
                <w:sz w:val="24"/>
                <w:szCs w:val="24"/>
              </w:rPr>
              <w:t xml:space="preserve">(d) Marge de réassurance (9+10+11+12) </w:t>
            </w:r>
          </w:p>
        </w:tc>
        <w:tc>
          <w:tcPr>
            <w:tcW w:w="2765" w:type="dxa"/>
            <w:vAlign w:val="center"/>
          </w:tcPr>
          <w:p w:rsidR="00806FB8" w:rsidRPr="00A83B39" w:rsidRDefault="00806FB8" w:rsidP="003F50D4">
            <w:pPr>
              <w:autoSpaceDE w:val="0"/>
              <w:autoSpaceDN w:val="0"/>
              <w:adjustRightInd w:val="0"/>
              <w:jc w:val="right"/>
              <w:rPr>
                <w:b/>
                <w:bCs/>
                <w:sz w:val="24"/>
                <w:szCs w:val="24"/>
              </w:rPr>
            </w:pPr>
            <w:r w:rsidRPr="00A83B39">
              <w:rPr>
                <w:b/>
                <w:bCs/>
                <w:sz w:val="24"/>
                <w:szCs w:val="24"/>
              </w:rPr>
              <w:t>-8</w:t>
            </w:r>
          </w:p>
        </w:tc>
      </w:tr>
      <w:tr w:rsidR="00806FB8" w:rsidRPr="00A83B39" w:rsidTr="003F50D4">
        <w:tc>
          <w:tcPr>
            <w:tcW w:w="6447" w:type="dxa"/>
          </w:tcPr>
          <w:p w:rsidR="00806FB8" w:rsidRPr="00A83B39" w:rsidRDefault="00806FB8" w:rsidP="003F50D4">
            <w:pPr>
              <w:autoSpaceDE w:val="0"/>
              <w:autoSpaceDN w:val="0"/>
              <w:adjustRightInd w:val="0"/>
              <w:jc w:val="left"/>
              <w:rPr>
                <w:sz w:val="24"/>
                <w:szCs w:val="24"/>
              </w:rPr>
            </w:pPr>
            <w:r w:rsidRPr="00A83B39">
              <w:rPr>
                <w:b/>
                <w:bCs/>
                <w:sz w:val="24"/>
                <w:szCs w:val="24"/>
              </w:rPr>
              <w:t>Résultat technique (</w:t>
            </w:r>
            <w:proofErr w:type="spellStart"/>
            <w:r w:rsidRPr="00A83B39">
              <w:rPr>
                <w:b/>
                <w:bCs/>
                <w:sz w:val="24"/>
                <w:szCs w:val="24"/>
              </w:rPr>
              <w:t>a+b+c+d</w:t>
            </w:r>
            <w:proofErr w:type="spellEnd"/>
            <w:r w:rsidRPr="00A83B39">
              <w:rPr>
                <w:b/>
                <w:bCs/>
                <w:sz w:val="24"/>
                <w:szCs w:val="24"/>
              </w:rPr>
              <w:t xml:space="preserve">) </w:t>
            </w:r>
          </w:p>
        </w:tc>
        <w:tc>
          <w:tcPr>
            <w:tcW w:w="2765" w:type="dxa"/>
            <w:vAlign w:val="center"/>
          </w:tcPr>
          <w:p w:rsidR="00806FB8" w:rsidRPr="00A83B39" w:rsidRDefault="00806FB8" w:rsidP="003F50D4">
            <w:pPr>
              <w:autoSpaceDE w:val="0"/>
              <w:autoSpaceDN w:val="0"/>
              <w:adjustRightInd w:val="0"/>
              <w:jc w:val="right"/>
              <w:rPr>
                <w:sz w:val="24"/>
                <w:szCs w:val="24"/>
              </w:rPr>
            </w:pPr>
            <w:r w:rsidRPr="00A83B39">
              <w:rPr>
                <w:b/>
                <w:bCs/>
                <w:sz w:val="24"/>
                <w:szCs w:val="24"/>
              </w:rPr>
              <w:t>24</w:t>
            </w:r>
          </w:p>
        </w:tc>
      </w:tr>
    </w:tbl>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b/>
          <w:bCs/>
          <w:sz w:val="24"/>
          <w:szCs w:val="24"/>
        </w:rPr>
        <w:t xml:space="preserve">marge technique brute </w:t>
      </w:r>
      <w:r w:rsidRPr="00A83B39">
        <w:rPr>
          <w:sz w:val="24"/>
          <w:szCs w:val="24"/>
        </w:rPr>
        <w:t>résulte de l’écart entre les sinistres prévus (la prime pure) et les sinistres réels.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b/>
          <w:bCs/>
          <w:sz w:val="24"/>
          <w:szCs w:val="24"/>
        </w:rPr>
        <w:t xml:space="preserve">marge administrative </w:t>
      </w:r>
      <w:r w:rsidRPr="00A83B39">
        <w:rPr>
          <w:sz w:val="24"/>
          <w:szCs w:val="24"/>
        </w:rPr>
        <w:t>résulte de l’écart entre les chargements prélevés à l’assuré et les frais réellement engagés. Dans cet exemple les chargements sont de 15 et les frais de 18 (10 de commissions versées au titre des primes et 8 de frais internes) soit une marge négative de 3.</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lastRenderedPageBreak/>
        <w:t xml:space="preserve">La </w:t>
      </w:r>
      <w:r w:rsidRPr="00A83B39">
        <w:rPr>
          <w:b/>
          <w:bCs/>
          <w:sz w:val="24"/>
          <w:szCs w:val="24"/>
        </w:rPr>
        <w:t xml:space="preserve">marge financière </w:t>
      </w:r>
      <w:r w:rsidRPr="00A83B39">
        <w:rPr>
          <w:sz w:val="24"/>
          <w:szCs w:val="24"/>
        </w:rPr>
        <w:t>résulte des produits dégagés entre l’encaissement de la prime et le règlement effectif des sinistres.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b/>
          <w:bCs/>
          <w:sz w:val="24"/>
          <w:szCs w:val="24"/>
        </w:rPr>
        <w:t xml:space="preserve">marge de réassurance </w:t>
      </w:r>
      <w:r w:rsidRPr="00A83B39">
        <w:rPr>
          <w:sz w:val="24"/>
          <w:szCs w:val="24"/>
        </w:rPr>
        <w:t>est en principe une charge. Dans l’exemple ci-joint elle correspond à une quote-part de 20% avec une commission de réassurance de 10%.</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Le </w:t>
      </w:r>
      <w:r w:rsidRPr="00A83B39">
        <w:rPr>
          <w:b/>
          <w:bCs/>
          <w:sz w:val="24"/>
          <w:szCs w:val="24"/>
        </w:rPr>
        <w:t xml:space="preserve">résultat technique </w:t>
      </w:r>
      <w:r w:rsidRPr="00A83B39">
        <w:rPr>
          <w:sz w:val="24"/>
          <w:szCs w:val="24"/>
        </w:rPr>
        <w:t>correspond à la somme des marges précédentes.</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2"/>
          <w:numId w:val="36"/>
        </w:numPr>
        <w:autoSpaceDE w:val="0"/>
        <w:autoSpaceDN w:val="0"/>
        <w:adjustRightInd w:val="0"/>
        <w:ind w:left="1225" w:hanging="505"/>
        <w:jc w:val="left"/>
        <w:outlineLvl w:val="3"/>
        <w:rPr>
          <w:rFonts w:ascii="ArialMT" w:hAnsi="ArialMT" w:cs="ArialMT"/>
          <w:color w:val="000000"/>
          <w:szCs w:val="22"/>
        </w:rPr>
      </w:pPr>
      <w:bookmarkStart w:id="69" w:name="_Toc351126783"/>
      <w:r w:rsidRPr="00A83B39">
        <w:rPr>
          <w:rFonts w:ascii="ArialMT" w:hAnsi="ArialMT" w:cs="ArialMT"/>
          <w:color w:val="000000"/>
          <w:szCs w:val="22"/>
        </w:rPr>
        <w:t>Assurances en cas de vie</w:t>
      </w:r>
      <w:bookmarkEnd w:id="69"/>
    </w:p>
    <w:p w:rsidR="00806FB8" w:rsidRPr="00A83B39" w:rsidRDefault="00806FB8" w:rsidP="00806FB8">
      <w:pPr>
        <w:autoSpaceDE w:val="0"/>
        <w:autoSpaceDN w:val="0"/>
        <w:adjustRightInd w:val="0"/>
        <w:jc w:val="left"/>
        <w:rPr>
          <w:rFonts w:ascii="Arial" w:hAnsi="Arial" w:cs="Arial"/>
          <w:b/>
          <w:bCs/>
          <w:szCs w:val="22"/>
        </w:rPr>
      </w:pPr>
    </w:p>
    <w:p w:rsidR="00806FB8" w:rsidRPr="00A83B39" w:rsidRDefault="00806FB8" w:rsidP="00806FB8">
      <w:pPr>
        <w:autoSpaceDE w:val="0"/>
        <w:autoSpaceDN w:val="0"/>
        <w:adjustRightInd w:val="0"/>
        <w:rPr>
          <w:sz w:val="24"/>
          <w:szCs w:val="24"/>
        </w:rPr>
      </w:pPr>
      <w:r w:rsidRPr="00A83B39">
        <w:rPr>
          <w:sz w:val="24"/>
          <w:szCs w:val="24"/>
        </w:rPr>
        <w:t>La garantie en cas de vie prévoit le paiement d’une prestation si l’assuré est vivant au terme du contrat. Théoriquement aucun versement n’intervient en cas de décès de l’assuré. Pour remédier à cet inconvénient il y a en général une contre assurance en cas de décès. Les principaux produits d’assurance en cas de vie sont les contrats à capital différé, la rente immédiate et la rente différée.</w:t>
      </w:r>
    </w:p>
    <w:p w:rsidR="00806FB8"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Le « capital différé »</w:t>
      </w:r>
    </w:p>
    <w:p w:rsidR="00806FB8" w:rsidRPr="00A83B39" w:rsidRDefault="00806FB8" w:rsidP="00806FB8">
      <w:pPr>
        <w:autoSpaceDE w:val="0"/>
        <w:autoSpaceDN w:val="0"/>
        <w:adjustRightInd w:val="0"/>
        <w:rPr>
          <w:sz w:val="24"/>
          <w:szCs w:val="24"/>
        </w:rPr>
      </w:pPr>
      <w:r w:rsidRPr="00A83B39">
        <w:rPr>
          <w:sz w:val="24"/>
          <w:szCs w:val="24"/>
        </w:rPr>
        <w:t xml:space="preserve">On peut distinguer les contrats différés sans contre assurance et les contrats avec contre assurance. </w:t>
      </w:r>
    </w:p>
    <w:p w:rsidR="00806FB8" w:rsidRPr="00A83B39" w:rsidRDefault="00806FB8" w:rsidP="00806FB8">
      <w:pPr>
        <w:autoSpaceDE w:val="0"/>
        <w:autoSpaceDN w:val="0"/>
        <w:adjustRightInd w:val="0"/>
        <w:rPr>
          <w:sz w:val="24"/>
          <w:szCs w:val="24"/>
        </w:rPr>
      </w:pPr>
      <w:r w:rsidRPr="00A83B39">
        <w:rPr>
          <w:sz w:val="24"/>
          <w:szCs w:val="24"/>
        </w:rPr>
        <w:t>Dans le cas des contrats sans contre assurance, l’assuré perçoit en contrepartie du paiement d’une prime unique ou de primes périodiques un capital à une date donnée à condition d’être vivant à cette date. Ces contrats, peu répandus, ont l’avantage de garantir aux assurés un capital plus élevé à l’échéance puisqu’ils anticipent la redistribution de l’épargne des assurés décédés.</w:t>
      </w:r>
    </w:p>
    <w:p w:rsidR="00806FB8" w:rsidRPr="00A83B39" w:rsidRDefault="00806FB8" w:rsidP="00806FB8">
      <w:pPr>
        <w:autoSpaceDE w:val="0"/>
        <w:autoSpaceDN w:val="0"/>
        <w:adjustRightInd w:val="0"/>
        <w:rPr>
          <w:sz w:val="24"/>
          <w:szCs w:val="24"/>
        </w:rPr>
      </w:pPr>
      <w:r w:rsidRPr="00A83B39">
        <w:rPr>
          <w:sz w:val="24"/>
          <w:szCs w:val="24"/>
        </w:rPr>
        <w:t>Les contrats à capital différé avec contre assurance, prévoient en cas de décès le remboursement du capital constitué.</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La « rente différée »</w:t>
      </w:r>
    </w:p>
    <w:p w:rsidR="00806FB8" w:rsidRPr="00A83B39" w:rsidRDefault="00806FB8" w:rsidP="00806FB8">
      <w:pPr>
        <w:autoSpaceDE w:val="0"/>
        <w:autoSpaceDN w:val="0"/>
        <w:adjustRightInd w:val="0"/>
        <w:rPr>
          <w:sz w:val="24"/>
          <w:szCs w:val="24"/>
        </w:rPr>
      </w:pPr>
      <w:r w:rsidRPr="00A83B39">
        <w:rPr>
          <w:sz w:val="24"/>
          <w:szCs w:val="24"/>
        </w:rPr>
        <w:t>Associée à un contrat à capital différé, une rente est versée au terme du contrat, en remplacement du capital. Il peut s’agir d’une rente viagère (jusqu’au décès de l’assuré), d’une rente temporaire ou certaine.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La « rente immédiate »</w:t>
      </w:r>
    </w:p>
    <w:p w:rsidR="00806FB8" w:rsidRPr="00A83B39" w:rsidRDefault="00806FB8" w:rsidP="00806FB8">
      <w:pPr>
        <w:autoSpaceDE w:val="0"/>
        <w:autoSpaceDN w:val="0"/>
        <w:adjustRightInd w:val="0"/>
        <w:rPr>
          <w:sz w:val="24"/>
          <w:szCs w:val="24"/>
        </w:rPr>
      </w:pPr>
      <w:r w:rsidRPr="00A83B39">
        <w:rPr>
          <w:sz w:val="24"/>
          <w:szCs w:val="24"/>
        </w:rPr>
        <w:t>En contrepartie du versement d’une prime unique l’assuré perçoit une rente, pendant un certain temps ou jusqu’à son décès.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Analyse des marges dans le cadre d’un produit épargne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La plupart des contrats d’assurance en cas de vie sont pour l’essentiel des purs produits d’épargne. Il va s’agir de contrats de long terme, dont la marge ne va pas être dégagée de façon linéaire.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Les produits d’épargne sont répartis entre les produits en euros, les produits en UC, et les produits mixant les deux types de garanties.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Les produits en euros présentent les caractéristiques principales suivantes :</w:t>
      </w:r>
    </w:p>
    <w:p w:rsidR="00806FB8" w:rsidRPr="00A83B39" w:rsidRDefault="00806FB8" w:rsidP="00806FB8">
      <w:pPr>
        <w:autoSpaceDE w:val="0"/>
        <w:autoSpaceDN w:val="0"/>
        <w:adjustRightInd w:val="0"/>
        <w:rPr>
          <w:sz w:val="24"/>
          <w:szCs w:val="24"/>
        </w:rPr>
      </w:pPr>
      <w:r w:rsidRPr="00A83B39">
        <w:rPr>
          <w:sz w:val="24"/>
          <w:szCs w:val="24"/>
        </w:rPr>
        <w:t>•l’épargne (la provision mathématique) est exprimée en euros ;</w:t>
      </w:r>
    </w:p>
    <w:p w:rsidR="00806FB8" w:rsidRPr="00A83B39" w:rsidRDefault="00806FB8" w:rsidP="00806FB8">
      <w:pPr>
        <w:autoSpaceDE w:val="0"/>
        <w:autoSpaceDN w:val="0"/>
        <w:adjustRightInd w:val="0"/>
        <w:rPr>
          <w:sz w:val="24"/>
          <w:szCs w:val="24"/>
        </w:rPr>
      </w:pPr>
      <w:r w:rsidRPr="00A83B39">
        <w:rPr>
          <w:sz w:val="24"/>
          <w:szCs w:val="24"/>
        </w:rPr>
        <w:t>•l’assuré perçoit une participation aux bénéfices ;</w:t>
      </w:r>
    </w:p>
    <w:p w:rsidR="00806FB8" w:rsidRPr="00A83B39" w:rsidRDefault="00806FB8" w:rsidP="00806FB8">
      <w:pPr>
        <w:autoSpaceDE w:val="0"/>
        <w:autoSpaceDN w:val="0"/>
        <w:adjustRightInd w:val="0"/>
        <w:rPr>
          <w:sz w:val="24"/>
          <w:szCs w:val="24"/>
        </w:rPr>
      </w:pPr>
      <w:r w:rsidRPr="00A83B39">
        <w:rPr>
          <w:sz w:val="24"/>
          <w:szCs w:val="24"/>
        </w:rPr>
        <w:t>•les intérêts acquis les années précédentes ne peuvent pas être remis en cause. On parle d’effet cliquet ;</w:t>
      </w:r>
    </w:p>
    <w:p w:rsidR="00806FB8" w:rsidRPr="00A83B39" w:rsidRDefault="00806FB8" w:rsidP="00806FB8">
      <w:pPr>
        <w:autoSpaceDE w:val="0"/>
        <w:autoSpaceDN w:val="0"/>
        <w:adjustRightInd w:val="0"/>
        <w:rPr>
          <w:sz w:val="24"/>
          <w:szCs w:val="24"/>
        </w:rPr>
      </w:pPr>
      <w:r w:rsidRPr="00A83B39">
        <w:rPr>
          <w:sz w:val="24"/>
          <w:szCs w:val="24"/>
        </w:rPr>
        <w:t>•le risque financier est porté par l’assureur.</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La provision mathématique est la différence entre les valeurs actuelles des engagements respectivement pris par l’assureur et par l’assuré. En pratique, on peut considérer que la provision mathématique correspond à l’épargne acquise par le souscripteur.</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Pour les contrats euros, on vérifiera que :</w:t>
      </w:r>
    </w:p>
    <w:p w:rsidR="00806FB8" w:rsidRPr="00A83B39" w:rsidRDefault="00806FB8" w:rsidP="00806FB8">
      <w:pPr>
        <w:autoSpaceDE w:val="0"/>
        <w:autoSpaceDN w:val="0"/>
        <w:adjustRightInd w:val="0"/>
        <w:rPr>
          <w:sz w:val="24"/>
          <w:szCs w:val="24"/>
        </w:rPr>
      </w:pPr>
      <w:r w:rsidRPr="00A83B39">
        <w:rPr>
          <w:sz w:val="24"/>
          <w:szCs w:val="24"/>
        </w:rPr>
        <w:t>PM 31/12/N hors intérêts techniques et participation aux bénéfices =</w:t>
      </w:r>
    </w:p>
    <w:p w:rsidR="00806FB8" w:rsidRPr="00A83B39" w:rsidRDefault="00806FB8" w:rsidP="00806FB8">
      <w:pPr>
        <w:autoSpaceDE w:val="0"/>
        <w:autoSpaceDN w:val="0"/>
        <w:adjustRightInd w:val="0"/>
        <w:rPr>
          <w:sz w:val="24"/>
          <w:szCs w:val="24"/>
        </w:rPr>
      </w:pPr>
      <w:r w:rsidRPr="00A83B39">
        <w:rPr>
          <w:sz w:val="24"/>
          <w:szCs w:val="24"/>
        </w:rPr>
        <w:t>(+) PM 31/12/N-1</w:t>
      </w:r>
    </w:p>
    <w:p w:rsidR="00806FB8" w:rsidRPr="00A83B39" w:rsidRDefault="00806FB8" w:rsidP="00806FB8">
      <w:pPr>
        <w:autoSpaceDE w:val="0"/>
        <w:autoSpaceDN w:val="0"/>
        <w:adjustRightInd w:val="0"/>
        <w:rPr>
          <w:sz w:val="24"/>
          <w:szCs w:val="24"/>
        </w:rPr>
      </w:pPr>
      <w:r w:rsidRPr="00A83B39">
        <w:rPr>
          <w:sz w:val="24"/>
          <w:szCs w:val="24"/>
        </w:rPr>
        <w:t>(+) primes nettes de commissions</w:t>
      </w:r>
    </w:p>
    <w:p w:rsidR="00806FB8" w:rsidRPr="00A83B39" w:rsidRDefault="00806FB8" w:rsidP="00806FB8">
      <w:pPr>
        <w:autoSpaceDE w:val="0"/>
        <w:autoSpaceDN w:val="0"/>
        <w:adjustRightInd w:val="0"/>
        <w:rPr>
          <w:sz w:val="24"/>
          <w:szCs w:val="24"/>
        </w:rPr>
      </w:pPr>
      <w:r w:rsidRPr="00A83B39">
        <w:rPr>
          <w:sz w:val="24"/>
          <w:szCs w:val="24"/>
        </w:rPr>
        <w:t>(-) rachats / sinistres (hors intérêts crédités aux prestations)</w:t>
      </w:r>
    </w:p>
    <w:p w:rsidR="00806FB8" w:rsidRDefault="00806FB8" w:rsidP="00806FB8">
      <w:pPr>
        <w:autoSpaceDE w:val="0"/>
        <w:autoSpaceDN w:val="0"/>
        <w:adjustRightInd w:val="0"/>
        <w:rPr>
          <w:sz w:val="24"/>
          <w:szCs w:val="24"/>
        </w:rPr>
      </w:pPr>
    </w:p>
    <w:p w:rsidR="00806FB8" w:rsidRDefault="00806FB8" w:rsidP="00806FB8">
      <w:pPr>
        <w:autoSpaceDE w:val="0"/>
        <w:autoSpaceDN w:val="0"/>
        <w:adjustRightInd w:val="0"/>
        <w:rPr>
          <w:sz w:val="24"/>
          <w:szCs w:val="24"/>
        </w:rPr>
      </w:pPr>
    </w:p>
    <w:p w:rsidR="00806FB8"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résultat de l’assureur s’expliquera par :</w:t>
      </w:r>
    </w:p>
    <w:p w:rsidR="00806FB8" w:rsidRPr="00A83B39" w:rsidRDefault="00806FB8" w:rsidP="00806FB8">
      <w:pPr>
        <w:autoSpaceDE w:val="0"/>
        <w:autoSpaceDN w:val="0"/>
        <w:adjustRightInd w:val="0"/>
        <w:rPr>
          <w:sz w:val="24"/>
          <w:szCs w:val="24"/>
        </w:rPr>
      </w:pPr>
      <w:r w:rsidRPr="00A83B39">
        <w:rPr>
          <w:sz w:val="24"/>
          <w:szCs w:val="24"/>
        </w:rPr>
        <w:t>•les commissions conservées sur les primes</w:t>
      </w:r>
    </w:p>
    <w:p w:rsidR="00806FB8" w:rsidRPr="00A83B39" w:rsidRDefault="00806FB8" w:rsidP="00806FB8">
      <w:pPr>
        <w:autoSpaceDE w:val="0"/>
        <w:autoSpaceDN w:val="0"/>
        <w:adjustRightInd w:val="0"/>
        <w:rPr>
          <w:sz w:val="24"/>
          <w:szCs w:val="24"/>
        </w:rPr>
      </w:pPr>
      <w:r w:rsidRPr="00A83B39">
        <w:rPr>
          <w:sz w:val="24"/>
          <w:szCs w:val="24"/>
        </w:rPr>
        <w:t>•la différence entre le résultat financier et la participation aux résultats due aux assurés (les frais de gestion).</w:t>
      </w:r>
    </w:p>
    <w:p w:rsidR="00806FB8" w:rsidRPr="00A83B39" w:rsidRDefault="00806FB8" w:rsidP="00806FB8">
      <w:pPr>
        <w:autoSpaceDE w:val="0"/>
        <w:autoSpaceDN w:val="0"/>
        <w:adjustRightInd w:val="0"/>
        <w:rPr>
          <w:sz w:val="24"/>
          <w:szCs w:val="24"/>
        </w:rPr>
      </w:pPr>
      <w:r w:rsidRPr="00A83B39">
        <w:rPr>
          <w:sz w:val="24"/>
          <w:szCs w:val="24"/>
        </w:rPr>
        <w:t>•les frais généraux et les commissions versées aux réseaux de distribution.</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i/>
          <w:iCs/>
          <w:sz w:val="24"/>
          <w:szCs w:val="24"/>
        </w:rPr>
      </w:pPr>
      <w:r w:rsidRPr="00A83B39">
        <w:rPr>
          <w:i/>
          <w:iCs/>
          <w:sz w:val="24"/>
          <w:szCs w:val="24"/>
        </w:rPr>
        <w:t>Exemple simplifié :</w:t>
      </w:r>
    </w:p>
    <w:p w:rsidR="00806FB8" w:rsidRPr="00A83B39" w:rsidRDefault="00806FB8" w:rsidP="00806FB8">
      <w:pPr>
        <w:autoSpaceDE w:val="0"/>
        <w:autoSpaceDN w:val="0"/>
        <w:adjustRightInd w:val="0"/>
        <w:rPr>
          <w:i/>
          <w:iCs/>
          <w:sz w:val="24"/>
          <w:szCs w:val="24"/>
        </w:rPr>
      </w:pPr>
      <w:r w:rsidRPr="00A83B39">
        <w:rPr>
          <w:i/>
          <w:iCs/>
          <w:sz w:val="24"/>
          <w:szCs w:val="24"/>
        </w:rPr>
        <w:t>Le total des PM euros au 31/12/2008 s’élève à 1.000 M€.</w:t>
      </w:r>
    </w:p>
    <w:p w:rsidR="00806FB8" w:rsidRPr="00A83B39" w:rsidRDefault="00806FB8" w:rsidP="00806FB8">
      <w:pPr>
        <w:autoSpaceDE w:val="0"/>
        <w:autoSpaceDN w:val="0"/>
        <w:adjustRightInd w:val="0"/>
        <w:rPr>
          <w:i/>
          <w:iCs/>
          <w:sz w:val="24"/>
          <w:szCs w:val="24"/>
        </w:rPr>
      </w:pPr>
      <w:r w:rsidRPr="00A83B39">
        <w:rPr>
          <w:i/>
          <w:iCs/>
          <w:sz w:val="24"/>
          <w:szCs w:val="24"/>
        </w:rPr>
        <w:t>Le total des primes de l’année 2009 est de 200M€ dont 4M€ de chargements (soit 2% du total).</w:t>
      </w:r>
    </w:p>
    <w:p w:rsidR="00806FB8" w:rsidRPr="00A83B39" w:rsidRDefault="00806FB8" w:rsidP="00806FB8">
      <w:pPr>
        <w:autoSpaceDE w:val="0"/>
        <w:autoSpaceDN w:val="0"/>
        <w:adjustRightInd w:val="0"/>
        <w:rPr>
          <w:i/>
          <w:iCs/>
          <w:sz w:val="24"/>
          <w:szCs w:val="24"/>
        </w:rPr>
      </w:pPr>
      <w:r w:rsidRPr="00A83B39">
        <w:rPr>
          <w:i/>
          <w:iCs/>
          <w:sz w:val="24"/>
          <w:szCs w:val="24"/>
        </w:rPr>
        <w:t>Le montant des rachats et sinistres s’est élevé à 100M€.</w:t>
      </w:r>
    </w:p>
    <w:p w:rsidR="00806FB8" w:rsidRPr="00A83B39" w:rsidRDefault="00806FB8" w:rsidP="00806FB8">
      <w:pPr>
        <w:autoSpaceDE w:val="0"/>
        <w:autoSpaceDN w:val="0"/>
        <w:adjustRightInd w:val="0"/>
        <w:rPr>
          <w:i/>
          <w:iCs/>
          <w:sz w:val="24"/>
          <w:szCs w:val="24"/>
        </w:rPr>
      </w:pPr>
      <w:r w:rsidRPr="00A83B39">
        <w:rPr>
          <w:i/>
          <w:iCs/>
          <w:sz w:val="24"/>
          <w:szCs w:val="24"/>
        </w:rPr>
        <w:t>La PM au 31/12/2009 avant intérêts techniques et participation aux résultats est donc égale à 1.000M€ + 196M€ - 100M€ = 1.096M€.</w:t>
      </w:r>
    </w:p>
    <w:p w:rsidR="00806FB8" w:rsidRPr="00A83B39" w:rsidRDefault="00806FB8" w:rsidP="00806FB8">
      <w:pPr>
        <w:autoSpaceDE w:val="0"/>
        <w:autoSpaceDN w:val="0"/>
        <w:adjustRightInd w:val="0"/>
        <w:rPr>
          <w:i/>
          <w:iCs/>
          <w:sz w:val="24"/>
          <w:szCs w:val="24"/>
        </w:rPr>
      </w:pPr>
      <w:r w:rsidRPr="00A83B39">
        <w:rPr>
          <w:i/>
          <w:iCs/>
          <w:sz w:val="24"/>
          <w:szCs w:val="24"/>
        </w:rPr>
        <w:t xml:space="preserve">Le résultat financier est de 55M€ soit un rendement de 5,24% (55 / moyenne (1.000 ; 1.096)). L’assureur a prélevé un total de frais de gestion de 0,80% soit </w:t>
      </w:r>
      <w:r>
        <w:rPr>
          <w:i/>
          <w:iCs/>
          <w:sz w:val="24"/>
          <w:szCs w:val="24"/>
        </w:rPr>
        <w:t>0</w:t>
      </w:r>
      <w:r w:rsidRPr="00A83B39">
        <w:rPr>
          <w:i/>
          <w:iCs/>
          <w:sz w:val="24"/>
          <w:szCs w:val="24"/>
        </w:rPr>
        <w:t>,4</w:t>
      </w:r>
      <w:r>
        <w:rPr>
          <w:i/>
          <w:iCs/>
          <w:sz w:val="24"/>
          <w:szCs w:val="24"/>
        </w:rPr>
        <w:t>4</w:t>
      </w:r>
      <w:r w:rsidRPr="00A83B39">
        <w:rPr>
          <w:i/>
          <w:iCs/>
          <w:sz w:val="24"/>
          <w:szCs w:val="24"/>
        </w:rPr>
        <w:t xml:space="preserve">M€ et attribué le reste en participation aux bénéfices soit </w:t>
      </w:r>
      <w:r>
        <w:rPr>
          <w:i/>
          <w:iCs/>
          <w:sz w:val="24"/>
          <w:szCs w:val="24"/>
        </w:rPr>
        <w:t>54</w:t>
      </w:r>
      <w:r w:rsidRPr="00A83B39">
        <w:rPr>
          <w:i/>
          <w:iCs/>
          <w:sz w:val="24"/>
          <w:szCs w:val="24"/>
        </w:rPr>
        <w:t>,</w:t>
      </w:r>
      <w:r>
        <w:rPr>
          <w:i/>
          <w:iCs/>
          <w:sz w:val="24"/>
          <w:szCs w:val="24"/>
        </w:rPr>
        <w:t>5</w:t>
      </w:r>
      <w:r w:rsidRPr="00A83B39">
        <w:rPr>
          <w:i/>
          <w:iCs/>
          <w:sz w:val="24"/>
          <w:szCs w:val="24"/>
        </w:rPr>
        <w:t xml:space="preserve">6M€. En outre l’assureur a reversé aux apporteurs d’affaires une commission égale à </w:t>
      </w:r>
      <w:r>
        <w:rPr>
          <w:i/>
          <w:iCs/>
          <w:sz w:val="24"/>
          <w:szCs w:val="24"/>
        </w:rPr>
        <w:t>0,</w:t>
      </w:r>
      <w:r w:rsidRPr="00A83B39">
        <w:rPr>
          <w:i/>
          <w:iCs/>
          <w:sz w:val="24"/>
          <w:szCs w:val="24"/>
        </w:rPr>
        <w:t xml:space="preserve">1% des primes (soit </w:t>
      </w:r>
      <w:r>
        <w:rPr>
          <w:i/>
          <w:iCs/>
          <w:sz w:val="24"/>
          <w:szCs w:val="24"/>
        </w:rPr>
        <w:t>0,</w:t>
      </w:r>
      <w:r w:rsidRPr="00A83B39">
        <w:rPr>
          <w:i/>
          <w:iCs/>
          <w:sz w:val="24"/>
          <w:szCs w:val="24"/>
        </w:rPr>
        <w:t xml:space="preserve">2M€) et 0,30% des provisions mathématiques (soit 3,1M€) et le total des frais généraux s’est élevé à </w:t>
      </w:r>
      <w:r>
        <w:rPr>
          <w:i/>
          <w:iCs/>
          <w:sz w:val="24"/>
          <w:szCs w:val="24"/>
        </w:rPr>
        <w:t>1</w:t>
      </w:r>
      <w:r w:rsidRPr="00A83B39">
        <w:rPr>
          <w:i/>
          <w:iCs/>
          <w:sz w:val="24"/>
          <w:szCs w:val="24"/>
        </w:rPr>
        <w:t>M€.</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i/>
          <w:iCs/>
          <w:sz w:val="24"/>
          <w:szCs w:val="24"/>
        </w:rPr>
      </w:pPr>
      <w:r w:rsidRPr="00A83B39">
        <w:rPr>
          <w:i/>
          <w:iCs/>
          <w:sz w:val="24"/>
          <w:szCs w:val="24"/>
        </w:rPr>
        <w:t>Le résultat de l’assureur est donc égal à :</w:t>
      </w:r>
    </w:p>
    <w:p w:rsidR="00806FB8" w:rsidRPr="00A83B39" w:rsidRDefault="00806FB8" w:rsidP="00806FB8">
      <w:pPr>
        <w:autoSpaceDE w:val="0"/>
        <w:autoSpaceDN w:val="0"/>
        <w:adjustRightInd w:val="0"/>
        <w:jc w:val="left"/>
        <w:rPr>
          <w:rFonts w:ascii="Arial" w:hAnsi="Arial" w:cs="Arial"/>
          <w:i/>
          <w:iCs/>
          <w:szCs w:val="22"/>
        </w:rPr>
      </w:pPr>
    </w:p>
    <w:p w:rsidR="00806FB8" w:rsidRPr="00A83B39" w:rsidRDefault="00806FB8" w:rsidP="00806F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left"/>
        <w:rPr>
          <w:rFonts w:ascii="Arial" w:hAnsi="Arial" w:cs="Arial"/>
          <w:i/>
          <w:iCs/>
          <w:szCs w:val="22"/>
        </w:rPr>
      </w:pPr>
      <w:r w:rsidRPr="00A83B39">
        <w:rPr>
          <w:rFonts w:ascii="Arial" w:hAnsi="Arial" w:cs="Arial"/>
          <w:i/>
          <w:iCs/>
          <w:szCs w:val="22"/>
        </w:rPr>
        <w:t xml:space="preserve">Commissions sur primes et encours: </w:t>
      </w:r>
      <w:r w:rsidRPr="00A83B39">
        <w:rPr>
          <w:rFonts w:ascii="Arial" w:hAnsi="Arial" w:cs="Arial"/>
          <w:i/>
          <w:iCs/>
          <w:szCs w:val="22"/>
        </w:rPr>
        <w:tab/>
        <w:t xml:space="preserve">(+) </w:t>
      </w:r>
      <w:r>
        <w:rPr>
          <w:rFonts w:ascii="Arial" w:hAnsi="Arial" w:cs="Arial"/>
          <w:i/>
          <w:iCs/>
          <w:szCs w:val="22"/>
        </w:rPr>
        <w:t>4</w:t>
      </w:r>
      <w:r w:rsidRPr="00A83B39">
        <w:rPr>
          <w:rFonts w:ascii="Arial" w:hAnsi="Arial" w:cs="Arial"/>
          <w:i/>
          <w:iCs/>
          <w:szCs w:val="22"/>
        </w:rPr>
        <w:t>,4M€ (4M€+</w:t>
      </w:r>
      <w:r>
        <w:rPr>
          <w:rFonts w:ascii="Arial" w:hAnsi="Arial" w:cs="Arial"/>
          <w:i/>
          <w:iCs/>
          <w:szCs w:val="22"/>
        </w:rPr>
        <w:t>0</w:t>
      </w:r>
      <w:r w:rsidRPr="00A83B39">
        <w:rPr>
          <w:rFonts w:ascii="Arial" w:hAnsi="Arial" w:cs="Arial"/>
          <w:i/>
          <w:iCs/>
          <w:szCs w:val="22"/>
        </w:rPr>
        <w:t>,4</w:t>
      </w:r>
      <w:r>
        <w:rPr>
          <w:rFonts w:ascii="Arial" w:hAnsi="Arial" w:cs="Arial"/>
          <w:i/>
          <w:iCs/>
          <w:szCs w:val="22"/>
        </w:rPr>
        <w:t>4</w:t>
      </w:r>
      <w:r w:rsidRPr="00A83B39">
        <w:rPr>
          <w:rFonts w:ascii="Arial" w:hAnsi="Arial" w:cs="Arial"/>
          <w:i/>
          <w:iCs/>
          <w:szCs w:val="22"/>
        </w:rPr>
        <w:t>M€)</w:t>
      </w:r>
    </w:p>
    <w:p w:rsidR="00806FB8" w:rsidRPr="00A83B39" w:rsidRDefault="00806FB8" w:rsidP="00806F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left"/>
        <w:rPr>
          <w:rFonts w:ascii="Arial" w:hAnsi="Arial" w:cs="Arial"/>
          <w:i/>
          <w:iCs/>
          <w:szCs w:val="22"/>
        </w:rPr>
      </w:pPr>
      <w:r w:rsidRPr="00A83B39">
        <w:rPr>
          <w:rFonts w:ascii="Arial" w:hAnsi="Arial" w:cs="Arial"/>
          <w:i/>
          <w:iCs/>
          <w:szCs w:val="22"/>
        </w:rPr>
        <w:t xml:space="preserve">Commissions versées : </w:t>
      </w:r>
      <w:r w:rsidRPr="00A83B39">
        <w:rPr>
          <w:rFonts w:ascii="Arial" w:hAnsi="Arial" w:cs="Arial"/>
          <w:i/>
          <w:iCs/>
          <w:szCs w:val="22"/>
        </w:rPr>
        <w:tab/>
      </w:r>
      <w:r w:rsidRPr="00A83B39">
        <w:rPr>
          <w:rFonts w:ascii="Arial" w:hAnsi="Arial" w:cs="Arial"/>
          <w:i/>
          <w:iCs/>
          <w:szCs w:val="22"/>
        </w:rPr>
        <w:tab/>
      </w:r>
      <w:r w:rsidRPr="00A83B39">
        <w:rPr>
          <w:rFonts w:ascii="Arial" w:hAnsi="Arial" w:cs="Arial"/>
          <w:i/>
          <w:iCs/>
          <w:szCs w:val="22"/>
        </w:rPr>
        <w:tab/>
        <w:t xml:space="preserve">(-) </w:t>
      </w:r>
      <w:r>
        <w:rPr>
          <w:rFonts w:ascii="Arial" w:hAnsi="Arial" w:cs="Arial"/>
          <w:i/>
          <w:iCs/>
          <w:szCs w:val="22"/>
        </w:rPr>
        <w:t>3</w:t>
      </w:r>
      <w:r w:rsidRPr="00A83B39">
        <w:rPr>
          <w:rFonts w:ascii="Arial" w:hAnsi="Arial" w:cs="Arial"/>
          <w:i/>
          <w:iCs/>
          <w:szCs w:val="22"/>
        </w:rPr>
        <w:t>,</w:t>
      </w:r>
      <w:r>
        <w:rPr>
          <w:rFonts w:ascii="Arial" w:hAnsi="Arial" w:cs="Arial"/>
          <w:i/>
          <w:iCs/>
          <w:szCs w:val="22"/>
        </w:rPr>
        <w:t>3</w:t>
      </w:r>
      <w:r w:rsidRPr="00A83B39">
        <w:rPr>
          <w:rFonts w:ascii="Arial" w:hAnsi="Arial" w:cs="Arial"/>
          <w:i/>
          <w:iCs/>
          <w:szCs w:val="22"/>
        </w:rPr>
        <w:t>M€ (</w:t>
      </w:r>
      <w:r>
        <w:rPr>
          <w:rFonts w:ascii="Arial" w:hAnsi="Arial" w:cs="Arial"/>
          <w:i/>
          <w:iCs/>
          <w:szCs w:val="22"/>
        </w:rPr>
        <w:t>0,</w:t>
      </w:r>
      <w:r w:rsidRPr="00A83B39">
        <w:rPr>
          <w:rFonts w:ascii="Arial" w:hAnsi="Arial" w:cs="Arial"/>
          <w:i/>
          <w:iCs/>
          <w:szCs w:val="22"/>
        </w:rPr>
        <w:t>2M€+3,1M€)</w:t>
      </w:r>
    </w:p>
    <w:p w:rsidR="00806FB8" w:rsidRPr="00A83B39" w:rsidRDefault="00806FB8" w:rsidP="00806F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left"/>
        <w:rPr>
          <w:rFonts w:ascii="Arial" w:hAnsi="Arial" w:cs="Arial"/>
          <w:i/>
          <w:iCs/>
          <w:szCs w:val="22"/>
        </w:rPr>
      </w:pPr>
      <w:r w:rsidRPr="00A83B39">
        <w:rPr>
          <w:rFonts w:ascii="Arial" w:hAnsi="Arial" w:cs="Arial"/>
          <w:i/>
          <w:iCs/>
          <w:szCs w:val="22"/>
        </w:rPr>
        <w:t xml:space="preserve">Frais généraux </w:t>
      </w:r>
      <w:r w:rsidRPr="00A83B39">
        <w:rPr>
          <w:rFonts w:ascii="Arial" w:hAnsi="Arial" w:cs="Arial"/>
          <w:i/>
          <w:iCs/>
          <w:szCs w:val="22"/>
        </w:rPr>
        <w:tab/>
      </w:r>
      <w:r w:rsidRPr="00A83B39">
        <w:rPr>
          <w:rFonts w:ascii="Arial" w:hAnsi="Arial" w:cs="Arial"/>
          <w:i/>
          <w:iCs/>
          <w:szCs w:val="22"/>
        </w:rPr>
        <w:tab/>
      </w:r>
      <w:r w:rsidRPr="00A83B39">
        <w:rPr>
          <w:rFonts w:ascii="Arial" w:hAnsi="Arial" w:cs="Arial"/>
          <w:i/>
          <w:iCs/>
          <w:szCs w:val="22"/>
        </w:rPr>
        <w:tab/>
      </w:r>
      <w:r w:rsidRPr="00A83B39">
        <w:rPr>
          <w:rFonts w:ascii="Arial" w:hAnsi="Arial" w:cs="Arial"/>
          <w:i/>
          <w:iCs/>
          <w:szCs w:val="22"/>
        </w:rPr>
        <w:tab/>
        <w:t xml:space="preserve">(-) </w:t>
      </w:r>
      <w:r>
        <w:rPr>
          <w:rFonts w:ascii="Arial" w:hAnsi="Arial" w:cs="Arial"/>
          <w:i/>
          <w:iCs/>
          <w:szCs w:val="22"/>
        </w:rPr>
        <w:t>1</w:t>
      </w:r>
      <w:r w:rsidRPr="00A83B39">
        <w:rPr>
          <w:rFonts w:ascii="Arial" w:hAnsi="Arial" w:cs="Arial"/>
          <w:i/>
          <w:iCs/>
          <w:szCs w:val="22"/>
        </w:rPr>
        <w:t>,0M€</w:t>
      </w:r>
    </w:p>
    <w:p w:rsidR="00806FB8" w:rsidRPr="00A83B39" w:rsidRDefault="00806FB8" w:rsidP="00806F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left"/>
        <w:rPr>
          <w:rFonts w:ascii="Arial" w:hAnsi="Arial" w:cs="Arial"/>
          <w:b/>
          <w:bCs/>
          <w:i/>
          <w:iCs/>
          <w:szCs w:val="22"/>
        </w:rPr>
      </w:pPr>
      <w:r w:rsidRPr="00A83B39">
        <w:rPr>
          <w:rFonts w:ascii="Arial" w:hAnsi="Arial" w:cs="Arial"/>
          <w:b/>
          <w:bCs/>
          <w:i/>
          <w:iCs/>
          <w:szCs w:val="22"/>
        </w:rPr>
        <w:tab/>
      </w:r>
      <w:r w:rsidRPr="00A83B39">
        <w:rPr>
          <w:rFonts w:ascii="Arial" w:hAnsi="Arial" w:cs="Arial"/>
          <w:b/>
          <w:bCs/>
          <w:i/>
          <w:iCs/>
          <w:szCs w:val="22"/>
        </w:rPr>
        <w:tab/>
      </w:r>
      <w:r w:rsidRPr="00A83B39">
        <w:rPr>
          <w:rFonts w:ascii="Arial" w:hAnsi="Arial" w:cs="Arial"/>
          <w:b/>
          <w:bCs/>
          <w:i/>
          <w:iCs/>
          <w:szCs w:val="22"/>
        </w:rPr>
        <w:tab/>
      </w:r>
      <w:r w:rsidRPr="00A83B39">
        <w:rPr>
          <w:rFonts w:ascii="Arial" w:hAnsi="Arial" w:cs="Arial"/>
          <w:b/>
          <w:bCs/>
          <w:i/>
          <w:iCs/>
          <w:szCs w:val="22"/>
        </w:rPr>
        <w:tab/>
      </w:r>
      <w:r w:rsidRPr="00A83B39">
        <w:rPr>
          <w:rFonts w:ascii="Arial" w:hAnsi="Arial" w:cs="Arial"/>
          <w:b/>
          <w:bCs/>
          <w:i/>
          <w:iCs/>
          <w:szCs w:val="22"/>
        </w:rPr>
        <w:tab/>
      </w:r>
      <w:r w:rsidRPr="00A83B39">
        <w:rPr>
          <w:rFonts w:ascii="Arial" w:hAnsi="Arial" w:cs="Arial"/>
          <w:b/>
          <w:bCs/>
          <w:i/>
          <w:iCs/>
          <w:szCs w:val="22"/>
        </w:rPr>
        <w:tab/>
      </w:r>
      <w:r>
        <w:rPr>
          <w:rFonts w:ascii="Arial" w:hAnsi="Arial" w:cs="Arial"/>
          <w:b/>
          <w:bCs/>
          <w:i/>
          <w:iCs/>
          <w:szCs w:val="22"/>
        </w:rPr>
        <w:t>0</w:t>
      </w:r>
      <w:r w:rsidRPr="00A83B39">
        <w:rPr>
          <w:rFonts w:ascii="Arial" w:hAnsi="Arial" w:cs="Arial"/>
          <w:b/>
          <w:bCs/>
          <w:i/>
          <w:iCs/>
          <w:szCs w:val="22"/>
        </w:rPr>
        <w:t>,</w:t>
      </w:r>
      <w:r>
        <w:rPr>
          <w:rFonts w:ascii="Arial" w:hAnsi="Arial" w:cs="Arial"/>
          <w:b/>
          <w:bCs/>
          <w:i/>
          <w:iCs/>
          <w:szCs w:val="22"/>
        </w:rPr>
        <w:t>1</w:t>
      </w:r>
      <w:r w:rsidRPr="00A83B39">
        <w:rPr>
          <w:rFonts w:ascii="Arial" w:hAnsi="Arial" w:cs="Arial"/>
          <w:b/>
          <w:bCs/>
          <w:i/>
          <w:iCs/>
          <w:szCs w:val="22"/>
        </w:rPr>
        <w:t>M€</w:t>
      </w:r>
    </w:p>
    <w:p w:rsidR="00806FB8" w:rsidRPr="00A83B39" w:rsidRDefault="00806FB8" w:rsidP="00806FB8">
      <w:pPr>
        <w:autoSpaceDE w:val="0"/>
        <w:autoSpaceDN w:val="0"/>
        <w:adjustRightInd w:val="0"/>
        <w:jc w:val="left"/>
        <w:rPr>
          <w:rFonts w:ascii="Arial" w:hAnsi="Arial" w:cs="Arial"/>
          <w:b/>
          <w:bCs/>
          <w:i/>
          <w:iCs/>
          <w:szCs w:val="22"/>
        </w:rPr>
      </w:pPr>
    </w:p>
    <w:p w:rsidR="00806FB8" w:rsidRPr="00A83B39" w:rsidRDefault="00806FB8" w:rsidP="00806FB8">
      <w:pPr>
        <w:autoSpaceDE w:val="0"/>
        <w:autoSpaceDN w:val="0"/>
        <w:adjustRightInd w:val="0"/>
        <w:rPr>
          <w:b/>
          <w:bCs/>
          <w:sz w:val="24"/>
          <w:szCs w:val="24"/>
        </w:rPr>
      </w:pPr>
      <w:r w:rsidRPr="00A83B39">
        <w:rPr>
          <w:b/>
          <w:bCs/>
          <w:sz w:val="24"/>
          <w:szCs w:val="24"/>
        </w:rPr>
        <w:t>Les produits en unités de compte</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sz w:val="24"/>
          <w:szCs w:val="24"/>
        </w:rPr>
      </w:pPr>
      <w:r w:rsidRPr="00A83B39">
        <w:rPr>
          <w:sz w:val="24"/>
          <w:szCs w:val="24"/>
        </w:rPr>
        <w:t>Par rapport aux produits en euros les produits en UC présentent les caractéristiques suivantes :</w:t>
      </w:r>
    </w:p>
    <w:p w:rsidR="00806FB8" w:rsidRPr="00A83B39" w:rsidRDefault="00806FB8" w:rsidP="00806FB8">
      <w:pPr>
        <w:autoSpaceDE w:val="0"/>
        <w:autoSpaceDN w:val="0"/>
        <w:adjustRightInd w:val="0"/>
        <w:rPr>
          <w:sz w:val="24"/>
          <w:szCs w:val="24"/>
        </w:rPr>
      </w:pPr>
      <w:r w:rsidRPr="00A83B39">
        <w:rPr>
          <w:sz w:val="24"/>
          <w:szCs w:val="24"/>
        </w:rPr>
        <w:t>•les montants versés par l’assuré sont investis sur des supports financiers choisis, en principe, par celui-ci ;</w:t>
      </w:r>
    </w:p>
    <w:p w:rsidR="00806FB8" w:rsidRPr="00A83B39" w:rsidRDefault="00806FB8" w:rsidP="00806FB8">
      <w:pPr>
        <w:autoSpaceDE w:val="0"/>
        <w:autoSpaceDN w:val="0"/>
        <w:adjustRightInd w:val="0"/>
        <w:rPr>
          <w:sz w:val="24"/>
          <w:szCs w:val="24"/>
        </w:rPr>
      </w:pPr>
      <w:r w:rsidRPr="00A83B39">
        <w:rPr>
          <w:sz w:val="24"/>
          <w:szCs w:val="24"/>
        </w:rPr>
        <w:t>•l’épargne est exprimée en nombre de parts contre-valorisées en euros ;</w:t>
      </w:r>
    </w:p>
    <w:p w:rsidR="00806FB8" w:rsidRPr="00A83B39" w:rsidRDefault="00806FB8" w:rsidP="00806FB8">
      <w:pPr>
        <w:autoSpaceDE w:val="0"/>
        <w:autoSpaceDN w:val="0"/>
        <w:adjustRightInd w:val="0"/>
        <w:rPr>
          <w:sz w:val="24"/>
          <w:szCs w:val="24"/>
        </w:rPr>
      </w:pPr>
      <w:r w:rsidRPr="00A83B39">
        <w:rPr>
          <w:sz w:val="24"/>
          <w:szCs w:val="24"/>
        </w:rPr>
        <w:t>•les frais de gestion sont prélevés en nombre de parts ;</w:t>
      </w:r>
    </w:p>
    <w:p w:rsidR="00806FB8" w:rsidRPr="00A83B39" w:rsidRDefault="00806FB8" w:rsidP="00806FB8">
      <w:pPr>
        <w:autoSpaceDE w:val="0"/>
        <w:autoSpaceDN w:val="0"/>
        <w:adjustRightInd w:val="0"/>
        <w:rPr>
          <w:sz w:val="24"/>
          <w:szCs w:val="24"/>
        </w:rPr>
      </w:pPr>
      <w:r w:rsidRPr="00A83B39">
        <w:rPr>
          <w:sz w:val="24"/>
          <w:szCs w:val="24"/>
        </w:rPr>
        <w:t>•le risque est théoriquement porté par l’assuré.</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Pour les contrats UC, on vérifiera, en nombre de parts que :</w:t>
      </w:r>
    </w:p>
    <w:p w:rsidR="00806FB8" w:rsidRPr="00A83B39" w:rsidRDefault="00806FB8" w:rsidP="00806FB8">
      <w:pPr>
        <w:autoSpaceDE w:val="0"/>
        <w:autoSpaceDN w:val="0"/>
        <w:adjustRightInd w:val="0"/>
        <w:rPr>
          <w:sz w:val="24"/>
          <w:szCs w:val="24"/>
        </w:rPr>
      </w:pPr>
      <w:r w:rsidRPr="00A83B39">
        <w:rPr>
          <w:sz w:val="24"/>
          <w:szCs w:val="24"/>
        </w:rPr>
        <w:t>Nb de parts au 31/12/N =</w:t>
      </w:r>
    </w:p>
    <w:p w:rsidR="00806FB8" w:rsidRPr="00A83B39" w:rsidRDefault="00806FB8" w:rsidP="00806FB8">
      <w:pPr>
        <w:autoSpaceDE w:val="0"/>
        <w:autoSpaceDN w:val="0"/>
        <w:adjustRightInd w:val="0"/>
        <w:rPr>
          <w:sz w:val="24"/>
          <w:szCs w:val="24"/>
        </w:rPr>
      </w:pPr>
      <w:r w:rsidRPr="00A83B39">
        <w:rPr>
          <w:sz w:val="24"/>
          <w:szCs w:val="24"/>
        </w:rPr>
        <w:t>(+) nb de parts au 31/12/N-1</w:t>
      </w:r>
    </w:p>
    <w:p w:rsidR="00806FB8" w:rsidRPr="00A83B39" w:rsidRDefault="00806FB8" w:rsidP="00806FB8">
      <w:pPr>
        <w:autoSpaceDE w:val="0"/>
        <w:autoSpaceDN w:val="0"/>
        <w:adjustRightInd w:val="0"/>
        <w:rPr>
          <w:sz w:val="24"/>
          <w:szCs w:val="24"/>
        </w:rPr>
      </w:pPr>
      <w:r w:rsidRPr="00A83B39">
        <w:rPr>
          <w:sz w:val="24"/>
          <w:szCs w:val="24"/>
        </w:rPr>
        <w:t>(+) nb de parts liées aux primes nettes de commissions</w:t>
      </w:r>
    </w:p>
    <w:p w:rsidR="00806FB8" w:rsidRPr="00A83B39" w:rsidRDefault="00806FB8" w:rsidP="00806FB8">
      <w:pPr>
        <w:autoSpaceDE w:val="0"/>
        <w:autoSpaceDN w:val="0"/>
        <w:adjustRightInd w:val="0"/>
        <w:rPr>
          <w:sz w:val="24"/>
          <w:szCs w:val="24"/>
        </w:rPr>
      </w:pPr>
      <w:r w:rsidRPr="00A83B39">
        <w:rPr>
          <w:sz w:val="24"/>
          <w:szCs w:val="24"/>
        </w:rPr>
        <w:t>(-) nb de parts liées aux rachats / sinistres</w:t>
      </w:r>
    </w:p>
    <w:p w:rsidR="00806FB8" w:rsidRPr="00A83B39" w:rsidRDefault="00806FB8" w:rsidP="00806FB8">
      <w:pPr>
        <w:autoSpaceDE w:val="0"/>
        <w:autoSpaceDN w:val="0"/>
        <w:adjustRightInd w:val="0"/>
        <w:rPr>
          <w:sz w:val="24"/>
          <w:szCs w:val="24"/>
        </w:rPr>
      </w:pPr>
      <w:r w:rsidRPr="00A83B39">
        <w:rPr>
          <w:sz w:val="24"/>
          <w:szCs w:val="24"/>
        </w:rPr>
        <w:t>(+/-) arbitrages vers ou depuis d’autres fonds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En montant la cohérence s’exprime de la façon suivante :</w:t>
      </w:r>
    </w:p>
    <w:p w:rsidR="00806FB8" w:rsidRPr="00A83B39" w:rsidRDefault="00806FB8" w:rsidP="00806FB8">
      <w:pPr>
        <w:autoSpaceDE w:val="0"/>
        <w:autoSpaceDN w:val="0"/>
        <w:adjustRightInd w:val="0"/>
        <w:rPr>
          <w:sz w:val="24"/>
          <w:szCs w:val="24"/>
        </w:rPr>
      </w:pPr>
      <w:r w:rsidRPr="00A83B39">
        <w:rPr>
          <w:sz w:val="24"/>
          <w:szCs w:val="24"/>
        </w:rPr>
        <w:t>PM 31/12/N avant frais de gestion =</w:t>
      </w:r>
    </w:p>
    <w:p w:rsidR="00806FB8" w:rsidRPr="00A83B39" w:rsidRDefault="00806FB8" w:rsidP="00806FB8">
      <w:pPr>
        <w:autoSpaceDE w:val="0"/>
        <w:autoSpaceDN w:val="0"/>
        <w:adjustRightInd w:val="0"/>
        <w:rPr>
          <w:sz w:val="24"/>
          <w:szCs w:val="24"/>
        </w:rPr>
      </w:pPr>
      <w:r w:rsidRPr="00A83B39">
        <w:rPr>
          <w:sz w:val="24"/>
          <w:szCs w:val="24"/>
        </w:rPr>
        <w:t>(+) PM 31/12/N-1</w:t>
      </w:r>
    </w:p>
    <w:p w:rsidR="00806FB8" w:rsidRPr="00A83B39" w:rsidRDefault="00806FB8" w:rsidP="00806FB8">
      <w:pPr>
        <w:autoSpaceDE w:val="0"/>
        <w:autoSpaceDN w:val="0"/>
        <w:adjustRightInd w:val="0"/>
        <w:rPr>
          <w:sz w:val="24"/>
          <w:szCs w:val="24"/>
        </w:rPr>
      </w:pPr>
      <w:r w:rsidRPr="00A83B39">
        <w:rPr>
          <w:sz w:val="24"/>
          <w:szCs w:val="24"/>
        </w:rPr>
        <w:t>(+) primes nettes de commissions</w:t>
      </w:r>
    </w:p>
    <w:p w:rsidR="00806FB8" w:rsidRPr="00A83B39" w:rsidRDefault="00806FB8" w:rsidP="00806FB8">
      <w:pPr>
        <w:autoSpaceDE w:val="0"/>
        <w:autoSpaceDN w:val="0"/>
        <w:adjustRightInd w:val="0"/>
        <w:rPr>
          <w:sz w:val="24"/>
          <w:szCs w:val="24"/>
        </w:rPr>
      </w:pPr>
      <w:r w:rsidRPr="00A83B39">
        <w:rPr>
          <w:sz w:val="24"/>
          <w:szCs w:val="24"/>
        </w:rPr>
        <w:lastRenderedPageBreak/>
        <w:t>(-) rachats / sinistres</w:t>
      </w:r>
    </w:p>
    <w:p w:rsidR="00806FB8" w:rsidRPr="00A83B39" w:rsidRDefault="00806FB8" w:rsidP="00806FB8">
      <w:pPr>
        <w:autoSpaceDE w:val="0"/>
        <w:autoSpaceDN w:val="0"/>
        <w:adjustRightInd w:val="0"/>
        <w:rPr>
          <w:sz w:val="24"/>
          <w:szCs w:val="24"/>
        </w:rPr>
      </w:pPr>
      <w:r w:rsidRPr="00A83B39">
        <w:rPr>
          <w:sz w:val="24"/>
          <w:szCs w:val="24"/>
        </w:rPr>
        <w:t>(+/-) arbitrages vers ou depuis d’autres fonds</w:t>
      </w:r>
    </w:p>
    <w:p w:rsidR="00806FB8" w:rsidRPr="00A83B39" w:rsidRDefault="00806FB8" w:rsidP="00806FB8">
      <w:pPr>
        <w:autoSpaceDE w:val="0"/>
        <w:autoSpaceDN w:val="0"/>
        <w:adjustRightInd w:val="0"/>
        <w:rPr>
          <w:sz w:val="24"/>
          <w:szCs w:val="24"/>
        </w:rPr>
      </w:pPr>
      <w:r w:rsidRPr="00A83B39">
        <w:rPr>
          <w:sz w:val="24"/>
          <w:szCs w:val="24"/>
        </w:rPr>
        <w:t>(+/-) ajustement ACAV</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La marge de l’assureur est donc constituée par les commissions conservées sur les primes et les frais de gestion prélevés sur le contrat.</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Il existe également des chargements prélevés par le gestionnaire de l’UC (société de gestion). Une partie de ces frais est en général versée à l’assureur qui en redonne une grande partie voir la totalité aux apporteurs d’affaires.</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Les produits mixant garanties en euros et en UC</w:t>
      </w:r>
    </w:p>
    <w:p w:rsidR="00806FB8" w:rsidRPr="00A83B39" w:rsidRDefault="00806FB8" w:rsidP="00806FB8">
      <w:pPr>
        <w:autoSpaceDE w:val="0"/>
        <w:autoSpaceDN w:val="0"/>
        <w:adjustRightInd w:val="0"/>
        <w:rPr>
          <w:sz w:val="24"/>
          <w:szCs w:val="24"/>
        </w:rPr>
      </w:pPr>
      <w:r w:rsidRPr="00A83B39">
        <w:rPr>
          <w:sz w:val="24"/>
          <w:szCs w:val="24"/>
        </w:rPr>
        <w:t>Dans le cas de contrats multi-supports l’assuré peut investir ses primes soit dans un fonds euros, soit dans des supports en UC. Il peut également effectuer des arbitrages d’une garantie vers une autre.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compte de résultat analytique d’un produit épargne de type euros peut être présenté ainsi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i/>
          <w:iCs/>
          <w:sz w:val="24"/>
          <w:szCs w:val="24"/>
        </w:rPr>
      </w:pPr>
      <w:r w:rsidRPr="00A83B39">
        <w:rPr>
          <w:i/>
          <w:iCs/>
          <w:sz w:val="24"/>
          <w:szCs w:val="24"/>
        </w:rPr>
        <w:t>Structure d'un compte de résultat de type épargne</w:t>
      </w:r>
    </w:p>
    <w:p w:rsidR="00806FB8" w:rsidRPr="00A83B39" w:rsidRDefault="00806FB8" w:rsidP="00806FB8">
      <w:pPr>
        <w:autoSpaceDE w:val="0"/>
        <w:autoSpaceDN w:val="0"/>
        <w:adjustRightInd w:val="0"/>
        <w:jc w:val="left"/>
        <w:rPr>
          <w:rFonts w:ascii="Arial" w:hAnsi="Arial" w:cs="Arial"/>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6"/>
        <w:gridCol w:w="2816"/>
      </w:tblGrid>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(1) Prime investie </w:t>
            </w:r>
          </w:p>
        </w:tc>
        <w:tc>
          <w:tcPr>
            <w:tcW w:w="2816" w:type="dxa"/>
          </w:tcPr>
          <w:p w:rsidR="00806FB8" w:rsidRPr="00A83B39" w:rsidRDefault="00806FB8" w:rsidP="003F50D4">
            <w:pPr>
              <w:autoSpaceDE w:val="0"/>
              <w:autoSpaceDN w:val="0"/>
              <w:adjustRightInd w:val="0"/>
              <w:jc w:val="left"/>
              <w:rPr>
                <w:sz w:val="24"/>
                <w:szCs w:val="24"/>
              </w:rPr>
            </w:pPr>
            <w:r w:rsidRPr="00A83B39">
              <w:rPr>
                <w:sz w:val="24"/>
                <w:szCs w:val="24"/>
              </w:rPr>
              <w:t>97</w:t>
            </w:r>
          </w:p>
        </w:tc>
      </w:tr>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(2) Variation des provisions mathématiques (hors IT/PB) </w:t>
            </w:r>
          </w:p>
        </w:tc>
        <w:tc>
          <w:tcPr>
            <w:tcW w:w="2816" w:type="dxa"/>
          </w:tcPr>
          <w:p w:rsidR="00806FB8" w:rsidRPr="00A83B39" w:rsidRDefault="00806FB8" w:rsidP="003F50D4">
            <w:pPr>
              <w:autoSpaceDE w:val="0"/>
              <w:autoSpaceDN w:val="0"/>
              <w:adjustRightInd w:val="0"/>
              <w:jc w:val="left"/>
              <w:rPr>
                <w:sz w:val="24"/>
                <w:szCs w:val="24"/>
              </w:rPr>
            </w:pPr>
            <w:r w:rsidRPr="00A83B39">
              <w:rPr>
                <w:sz w:val="24"/>
                <w:szCs w:val="24"/>
              </w:rPr>
              <w:t>-67</w:t>
            </w:r>
          </w:p>
        </w:tc>
      </w:tr>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(3) Prestation : sinistres, rachats, échus </w:t>
            </w:r>
          </w:p>
        </w:tc>
        <w:tc>
          <w:tcPr>
            <w:tcW w:w="2816" w:type="dxa"/>
          </w:tcPr>
          <w:p w:rsidR="00806FB8" w:rsidRPr="00A83B39" w:rsidRDefault="00806FB8" w:rsidP="003F50D4">
            <w:pPr>
              <w:autoSpaceDE w:val="0"/>
              <w:autoSpaceDN w:val="0"/>
              <w:adjustRightInd w:val="0"/>
              <w:jc w:val="left"/>
              <w:rPr>
                <w:sz w:val="24"/>
                <w:szCs w:val="24"/>
              </w:rPr>
            </w:pPr>
            <w:r w:rsidRPr="00A83B39">
              <w:rPr>
                <w:sz w:val="24"/>
                <w:szCs w:val="24"/>
              </w:rPr>
              <w:t>-31</w:t>
            </w:r>
          </w:p>
        </w:tc>
      </w:tr>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(4) IT et PB crédités aux prestations </w:t>
            </w:r>
          </w:p>
        </w:tc>
        <w:tc>
          <w:tcPr>
            <w:tcW w:w="2816" w:type="dxa"/>
            <w:vAlign w:val="center"/>
          </w:tcPr>
          <w:p w:rsidR="00806FB8" w:rsidRPr="00A83B39" w:rsidRDefault="00806FB8" w:rsidP="003F50D4">
            <w:pPr>
              <w:autoSpaceDE w:val="0"/>
              <w:autoSpaceDN w:val="0"/>
              <w:adjustRightInd w:val="0"/>
              <w:jc w:val="left"/>
              <w:rPr>
                <w:sz w:val="24"/>
                <w:szCs w:val="24"/>
              </w:rPr>
            </w:pPr>
            <w:r w:rsidRPr="00A83B39">
              <w:rPr>
                <w:sz w:val="24"/>
                <w:szCs w:val="24"/>
              </w:rPr>
              <w:t>1</w:t>
            </w:r>
          </w:p>
        </w:tc>
      </w:tr>
      <w:tr w:rsidR="00806FB8" w:rsidRPr="00A83B39" w:rsidTr="003F50D4">
        <w:tc>
          <w:tcPr>
            <w:tcW w:w="6396" w:type="dxa"/>
          </w:tcPr>
          <w:p w:rsidR="00806FB8" w:rsidRPr="00A83B39" w:rsidRDefault="00806FB8" w:rsidP="003F50D4">
            <w:pPr>
              <w:autoSpaceDE w:val="0"/>
              <w:autoSpaceDN w:val="0"/>
              <w:adjustRightInd w:val="0"/>
              <w:jc w:val="left"/>
              <w:rPr>
                <w:b/>
                <w:bCs/>
                <w:sz w:val="24"/>
                <w:szCs w:val="24"/>
              </w:rPr>
            </w:pPr>
            <w:r w:rsidRPr="00A83B39">
              <w:rPr>
                <w:b/>
                <w:bCs/>
                <w:sz w:val="24"/>
                <w:szCs w:val="24"/>
              </w:rPr>
              <w:t xml:space="preserve">(a) Marge technique brute (1+2+3+4) </w:t>
            </w:r>
          </w:p>
        </w:tc>
        <w:tc>
          <w:tcPr>
            <w:tcW w:w="2816" w:type="dxa"/>
            <w:vAlign w:val="center"/>
          </w:tcPr>
          <w:p w:rsidR="00806FB8" w:rsidRPr="00A83B39" w:rsidRDefault="00806FB8" w:rsidP="003F50D4">
            <w:pPr>
              <w:autoSpaceDE w:val="0"/>
              <w:autoSpaceDN w:val="0"/>
              <w:adjustRightInd w:val="0"/>
              <w:jc w:val="right"/>
              <w:rPr>
                <w:b/>
                <w:bCs/>
                <w:sz w:val="24"/>
                <w:szCs w:val="24"/>
              </w:rPr>
            </w:pPr>
            <w:r w:rsidRPr="00A83B39">
              <w:rPr>
                <w:b/>
                <w:bCs/>
                <w:sz w:val="24"/>
                <w:szCs w:val="24"/>
              </w:rPr>
              <w:t>0</w:t>
            </w:r>
          </w:p>
        </w:tc>
      </w:tr>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(5) Chargement sur primes </w:t>
            </w:r>
          </w:p>
        </w:tc>
        <w:tc>
          <w:tcPr>
            <w:tcW w:w="2816" w:type="dxa"/>
          </w:tcPr>
          <w:p w:rsidR="00806FB8" w:rsidRPr="00A83B39" w:rsidRDefault="00806FB8" w:rsidP="003F50D4">
            <w:pPr>
              <w:autoSpaceDE w:val="0"/>
              <w:autoSpaceDN w:val="0"/>
              <w:adjustRightInd w:val="0"/>
              <w:jc w:val="left"/>
              <w:rPr>
                <w:sz w:val="24"/>
                <w:szCs w:val="24"/>
              </w:rPr>
            </w:pPr>
            <w:r w:rsidRPr="00A83B39">
              <w:rPr>
                <w:sz w:val="24"/>
                <w:szCs w:val="24"/>
              </w:rPr>
              <w:t>3</w:t>
            </w:r>
          </w:p>
        </w:tc>
      </w:tr>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(6) Pénalités de rachats etc. </w:t>
            </w:r>
          </w:p>
        </w:tc>
        <w:tc>
          <w:tcPr>
            <w:tcW w:w="2816" w:type="dxa"/>
          </w:tcPr>
          <w:p w:rsidR="00806FB8" w:rsidRPr="00A83B39" w:rsidRDefault="00806FB8" w:rsidP="003F50D4">
            <w:pPr>
              <w:autoSpaceDE w:val="0"/>
              <w:autoSpaceDN w:val="0"/>
              <w:adjustRightInd w:val="0"/>
              <w:jc w:val="left"/>
              <w:rPr>
                <w:sz w:val="24"/>
                <w:szCs w:val="24"/>
              </w:rPr>
            </w:pPr>
            <w:r w:rsidRPr="00A83B39">
              <w:rPr>
                <w:sz w:val="24"/>
                <w:szCs w:val="24"/>
              </w:rPr>
              <w:t>0</w:t>
            </w:r>
          </w:p>
        </w:tc>
      </w:tr>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(7) Commissions </w:t>
            </w:r>
          </w:p>
        </w:tc>
        <w:tc>
          <w:tcPr>
            <w:tcW w:w="2816" w:type="dxa"/>
          </w:tcPr>
          <w:p w:rsidR="00806FB8" w:rsidRPr="00A83B39" w:rsidRDefault="00806FB8" w:rsidP="003F50D4">
            <w:pPr>
              <w:autoSpaceDE w:val="0"/>
              <w:autoSpaceDN w:val="0"/>
              <w:adjustRightInd w:val="0"/>
              <w:jc w:val="left"/>
              <w:rPr>
                <w:sz w:val="24"/>
                <w:szCs w:val="24"/>
              </w:rPr>
            </w:pPr>
            <w:r w:rsidRPr="00A83B39">
              <w:rPr>
                <w:sz w:val="24"/>
                <w:szCs w:val="24"/>
              </w:rPr>
              <w:t>-2</w:t>
            </w:r>
          </w:p>
        </w:tc>
      </w:tr>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(8) Frais généraux </w:t>
            </w:r>
          </w:p>
        </w:tc>
        <w:tc>
          <w:tcPr>
            <w:tcW w:w="2816" w:type="dxa"/>
          </w:tcPr>
          <w:p w:rsidR="00806FB8" w:rsidRPr="00A83B39" w:rsidRDefault="00806FB8" w:rsidP="003F50D4">
            <w:pPr>
              <w:autoSpaceDE w:val="0"/>
              <w:autoSpaceDN w:val="0"/>
              <w:adjustRightInd w:val="0"/>
              <w:jc w:val="left"/>
              <w:rPr>
                <w:sz w:val="24"/>
                <w:szCs w:val="24"/>
              </w:rPr>
            </w:pPr>
            <w:r w:rsidRPr="00A83B39">
              <w:rPr>
                <w:sz w:val="24"/>
                <w:szCs w:val="24"/>
              </w:rPr>
              <w:t>-10</w:t>
            </w:r>
          </w:p>
        </w:tc>
      </w:tr>
      <w:tr w:rsidR="00806FB8" w:rsidRPr="00A83B39" w:rsidTr="003F50D4">
        <w:tc>
          <w:tcPr>
            <w:tcW w:w="6396" w:type="dxa"/>
          </w:tcPr>
          <w:p w:rsidR="00806FB8" w:rsidRPr="00A83B39" w:rsidRDefault="00806FB8" w:rsidP="003F50D4">
            <w:pPr>
              <w:autoSpaceDE w:val="0"/>
              <w:autoSpaceDN w:val="0"/>
              <w:adjustRightInd w:val="0"/>
              <w:jc w:val="left"/>
              <w:rPr>
                <w:b/>
                <w:bCs/>
                <w:sz w:val="24"/>
                <w:szCs w:val="24"/>
              </w:rPr>
            </w:pPr>
            <w:r w:rsidRPr="00A83B39">
              <w:rPr>
                <w:b/>
                <w:bCs/>
                <w:sz w:val="24"/>
                <w:szCs w:val="24"/>
              </w:rPr>
              <w:t xml:space="preserve">(b) Marge administrative (5+6+7+8) </w:t>
            </w:r>
          </w:p>
        </w:tc>
        <w:tc>
          <w:tcPr>
            <w:tcW w:w="2816" w:type="dxa"/>
            <w:vAlign w:val="center"/>
          </w:tcPr>
          <w:p w:rsidR="00806FB8" w:rsidRPr="00A83B39" w:rsidRDefault="00806FB8" w:rsidP="003F50D4">
            <w:pPr>
              <w:autoSpaceDE w:val="0"/>
              <w:autoSpaceDN w:val="0"/>
              <w:adjustRightInd w:val="0"/>
              <w:jc w:val="right"/>
              <w:rPr>
                <w:b/>
                <w:bCs/>
                <w:sz w:val="24"/>
                <w:szCs w:val="24"/>
              </w:rPr>
            </w:pPr>
            <w:r w:rsidRPr="00A83B39">
              <w:rPr>
                <w:b/>
                <w:bCs/>
                <w:sz w:val="24"/>
                <w:szCs w:val="24"/>
              </w:rPr>
              <w:t>-9</w:t>
            </w:r>
          </w:p>
        </w:tc>
      </w:tr>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(9) Produits financiers </w:t>
            </w:r>
          </w:p>
        </w:tc>
        <w:tc>
          <w:tcPr>
            <w:tcW w:w="2816" w:type="dxa"/>
          </w:tcPr>
          <w:p w:rsidR="00806FB8" w:rsidRPr="00A83B39" w:rsidRDefault="00806FB8" w:rsidP="003F50D4">
            <w:pPr>
              <w:autoSpaceDE w:val="0"/>
              <w:autoSpaceDN w:val="0"/>
              <w:adjustRightInd w:val="0"/>
              <w:jc w:val="left"/>
              <w:rPr>
                <w:sz w:val="24"/>
                <w:szCs w:val="24"/>
              </w:rPr>
            </w:pPr>
            <w:r w:rsidRPr="00A83B39">
              <w:rPr>
                <w:sz w:val="24"/>
                <w:szCs w:val="24"/>
              </w:rPr>
              <w:t>50</w:t>
            </w:r>
          </w:p>
        </w:tc>
      </w:tr>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(10) IT et PB crédités aux prestations </w:t>
            </w:r>
          </w:p>
        </w:tc>
        <w:tc>
          <w:tcPr>
            <w:tcW w:w="2816" w:type="dxa"/>
          </w:tcPr>
          <w:p w:rsidR="00806FB8" w:rsidRPr="00A83B39" w:rsidRDefault="00806FB8" w:rsidP="003F50D4">
            <w:pPr>
              <w:autoSpaceDE w:val="0"/>
              <w:autoSpaceDN w:val="0"/>
              <w:adjustRightInd w:val="0"/>
              <w:jc w:val="left"/>
              <w:rPr>
                <w:sz w:val="24"/>
                <w:szCs w:val="24"/>
              </w:rPr>
            </w:pPr>
            <w:r w:rsidRPr="00A83B39">
              <w:rPr>
                <w:sz w:val="24"/>
                <w:szCs w:val="24"/>
              </w:rPr>
              <w:t>-1</w:t>
            </w:r>
          </w:p>
        </w:tc>
      </w:tr>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(11) IT à créditer aux PM </w:t>
            </w:r>
          </w:p>
        </w:tc>
        <w:tc>
          <w:tcPr>
            <w:tcW w:w="2816" w:type="dxa"/>
          </w:tcPr>
          <w:p w:rsidR="00806FB8" w:rsidRPr="00A83B39" w:rsidRDefault="00806FB8" w:rsidP="003F50D4">
            <w:pPr>
              <w:autoSpaceDE w:val="0"/>
              <w:autoSpaceDN w:val="0"/>
              <w:adjustRightInd w:val="0"/>
              <w:jc w:val="left"/>
              <w:rPr>
                <w:sz w:val="24"/>
                <w:szCs w:val="24"/>
              </w:rPr>
            </w:pPr>
            <w:r w:rsidRPr="00A83B39">
              <w:rPr>
                <w:sz w:val="24"/>
                <w:szCs w:val="24"/>
              </w:rPr>
              <w:t>-10</w:t>
            </w:r>
          </w:p>
        </w:tc>
      </w:tr>
      <w:tr w:rsidR="00806FB8" w:rsidRPr="00A83B39" w:rsidTr="003F50D4">
        <w:tc>
          <w:tcPr>
            <w:tcW w:w="6396" w:type="dxa"/>
          </w:tcPr>
          <w:p w:rsidR="00806FB8" w:rsidRPr="00A83B39" w:rsidRDefault="00806FB8" w:rsidP="003F50D4">
            <w:pPr>
              <w:autoSpaceDE w:val="0"/>
              <w:autoSpaceDN w:val="0"/>
              <w:adjustRightInd w:val="0"/>
              <w:jc w:val="left"/>
              <w:rPr>
                <w:sz w:val="24"/>
                <w:szCs w:val="24"/>
              </w:rPr>
            </w:pPr>
            <w:r w:rsidRPr="00A83B39">
              <w:rPr>
                <w:sz w:val="24"/>
                <w:szCs w:val="24"/>
              </w:rPr>
              <w:t xml:space="preserve">(12) PB à créditer aux PM </w:t>
            </w:r>
          </w:p>
        </w:tc>
        <w:tc>
          <w:tcPr>
            <w:tcW w:w="2816" w:type="dxa"/>
          </w:tcPr>
          <w:p w:rsidR="00806FB8" w:rsidRPr="00A83B39" w:rsidRDefault="00806FB8" w:rsidP="003F50D4">
            <w:pPr>
              <w:autoSpaceDE w:val="0"/>
              <w:autoSpaceDN w:val="0"/>
              <w:adjustRightInd w:val="0"/>
              <w:jc w:val="left"/>
              <w:rPr>
                <w:sz w:val="24"/>
                <w:szCs w:val="24"/>
              </w:rPr>
            </w:pPr>
            <w:r w:rsidRPr="00A83B39">
              <w:rPr>
                <w:sz w:val="24"/>
                <w:szCs w:val="24"/>
              </w:rPr>
              <w:t>-29</w:t>
            </w:r>
          </w:p>
        </w:tc>
      </w:tr>
      <w:tr w:rsidR="00806FB8" w:rsidRPr="00A83B39" w:rsidTr="003F50D4">
        <w:tc>
          <w:tcPr>
            <w:tcW w:w="6396" w:type="dxa"/>
          </w:tcPr>
          <w:p w:rsidR="00806FB8" w:rsidRPr="00A83B39" w:rsidRDefault="00806FB8" w:rsidP="003F50D4">
            <w:pPr>
              <w:autoSpaceDE w:val="0"/>
              <w:autoSpaceDN w:val="0"/>
              <w:adjustRightInd w:val="0"/>
              <w:jc w:val="left"/>
              <w:rPr>
                <w:b/>
                <w:bCs/>
                <w:sz w:val="24"/>
                <w:szCs w:val="24"/>
              </w:rPr>
            </w:pPr>
            <w:r w:rsidRPr="00A83B39">
              <w:rPr>
                <w:b/>
                <w:bCs/>
                <w:sz w:val="24"/>
                <w:szCs w:val="24"/>
              </w:rPr>
              <w:t xml:space="preserve">(c) Marge financière (9+10+11+12) </w:t>
            </w:r>
          </w:p>
        </w:tc>
        <w:tc>
          <w:tcPr>
            <w:tcW w:w="2816" w:type="dxa"/>
            <w:vAlign w:val="center"/>
          </w:tcPr>
          <w:p w:rsidR="00806FB8" w:rsidRPr="00A83B39" w:rsidRDefault="00806FB8" w:rsidP="003F50D4">
            <w:pPr>
              <w:autoSpaceDE w:val="0"/>
              <w:autoSpaceDN w:val="0"/>
              <w:adjustRightInd w:val="0"/>
              <w:jc w:val="right"/>
              <w:rPr>
                <w:b/>
                <w:bCs/>
                <w:sz w:val="24"/>
                <w:szCs w:val="24"/>
              </w:rPr>
            </w:pPr>
            <w:r w:rsidRPr="00A83B39">
              <w:rPr>
                <w:b/>
                <w:bCs/>
                <w:sz w:val="24"/>
                <w:szCs w:val="24"/>
              </w:rPr>
              <w:t>10</w:t>
            </w:r>
          </w:p>
        </w:tc>
      </w:tr>
      <w:tr w:rsidR="00806FB8" w:rsidRPr="00A83B39" w:rsidTr="003F50D4">
        <w:tc>
          <w:tcPr>
            <w:tcW w:w="6396" w:type="dxa"/>
          </w:tcPr>
          <w:p w:rsidR="00806FB8" w:rsidRPr="00A83B39" w:rsidRDefault="00806FB8" w:rsidP="003F50D4">
            <w:pPr>
              <w:autoSpaceDE w:val="0"/>
              <w:autoSpaceDN w:val="0"/>
              <w:adjustRightInd w:val="0"/>
              <w:jc w:val="left"/>
              <w:rPr>
                <w:b/>
                <w:bCs/>
                <w:sz w:val="24"/>
                <w:szCs w:val="24"/>
              </w:rPr>
            </w:pPr>
            <w:r w:rsidRPr="00A83B39">
              <w:rPr>
                <w:b/>
                <w:bCs/>
                <w:sz w:val="24"/>
                <w:szCs w:val="24"/>
              </w:rPr>
              <w:t>Résultat technique (</w:t>
            </w:r>
            <w:proofErr w:type="spellStart"/>
            <w:r w:rsidRPr="00A83B39">
              <w:rPr>
                <w:b/>
                <w:bCs/>
                <w:sz w:val="24"/>
                <w:szCs w:val="24"/>
              </w:rPr>
              <w:t>a+b+c</w:t>
            </w:r>
            <w:proofErr w:type="spellEnd"/>
            <w:r w:rsidRPr="00A83B39">
              <w:rPr>
                <w:b/>
                <w:bCs/>
                <w:sz w:val="24"/>
                <w:szCs w:val="24"/>
              </w:rPr>
              <w:t xml:space="preserve">) </w:t>
            </w:r>
          </w:p>
        </w:tc>
        <w:tc>
          <w:tcPr>
            <w:tcW w:w="2816" w:type="dxa"/>
            <w:vAlign w:val="center"/>
          </w:tcPr>
          <w:p w:rsidR="00806FB8" w:rsidRPr="00A83B39" w:rsidRDefault="00806FB8" w:rsidP="003F50D4">
            <w:pPr>
              <w:autoSpaceDE w:val="0"/>
              <w:autoSpaceDN w:val="0"/>
              <w:adjustRightInd w:val="0"/>
              <w:jc w:val="right"/>
              <w:rPr>
                <w:b/>
                <w:bCs/>
                <w:sz w:val="24"/>
                <w:szCs w:val="24"/>
              </w:rPr>
            </w:pPr>
            <w:r w:rsidRPr="00A83B39">
              <w:rPr>
                <w:b/>
                <w:bCs/>
                <w:sz w:val="24"/>
                <w:szCs w:val="24"/>
              </w:rPr>
              <w:t>1</w:t>
            </w:r>
          </w:p>
        </w:tc>
      </w:tr>
    </w:tbl>
    <w:p w:rsidR="00806FB8" w:rsidRPr="00A83B39" w:rsidRDefault="00806FB8" w:rsidP="00806FB8">
      <w:pPr>
        <w:autoSpaceDE w:val="0"/>
        <w:autoSpaceDN w:val="0"/>
        <w:adjustRightInd w:val="0"/>
        <w:jc w:val="left"/>
        <w:rPr>
          <w:rFonts w:ascii="Arial" w:hAnsi="Arial" w:cs="Arial"/>
          <w:b/>
          <w:bCs/>
          <w:szCs w:val="22"/>
        </w:rPr>
      </w:pPr>
    </w:p>
    <w:p w:rsidR="00806FB8" w:rsidRPr="00A83B39" w:rsidRDefault="00806FB8" w:rsidP="00806FB8">
      <w:pPr>
        <w:autoSpaceDE w:val="0"/>
        <w:autoSpaceDN w:val="0"/>
        <w:adjustRightInd w:val="0"/>
        <w:rPr>
          <w:b/>
          <w:bCs/>
          <w:sz w:val="24"/>
          <w:szCs w:val="24"/>
        </w:rPr>
      </w:pPr>
      <w:r w:rsidRPr="00A83B39">
        <w:rPr>
          <w:b/>
          <w:bCs/>
          <w:sz w:val="24"/>
          <w:szCs w:val="24"/>
        </w:rPr>
        <w:t>Marge technique</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sz w:val="24"/>
          <w:szCs w:val="24"/>
        </w:rPr>
      </w:pPr>
      <w:r w:rsidRPr="00A83B39">
        <w:rPr>
          <w:sz w:val="24"/>
          <w:szCs w:val="24"/>
        </w:rPr>
        <w:t>La prime investie correspond à la prime versée par l’assuré (le chiffre d’affaires) déduction faite des frais d’entrée. Ces frais se situent en général entre 0% et 5% des primes. Ils sont fortement orientés à la baisse depuis quelques années. Cette baisse peut s’expliquer par :</w:t>
      </w:r>
    </w:p>
    <w:p w:rsidR="00806FB8" w:rsidRPr="00A83B39" w:rsidRDefault="00806FB8" w:rsidP="00806FB8">
      <w:pPr>
        <w:autoSpaceDE w:val="0"/>
        <w:autoSpaceDN w:val="0"/>
        <w:adjustRightInd w:val="0"/>
        <w:rPr>
          <w:sz w:val="24"/>
          <w:szCs w:val="24"/>
        </w:rPr>
      </w:pPr>
      <w:r w:rsidRPr="00A83B39">
        <w:rPr>
          <w:sz w:val="24"/>
          <w:szCs w:val="24"/>
        </w:rPr>
        <w:t>•l’impact de la baisse des rendements qui rend plus difficilement acceptable des frais d’entrée élevés.</w:t>
      </w:r>
    </w:p>
    <w:p w:rsidR="00806FB8" w:rsidRPr="00A83B39" w:rsidRDefault="00806FB8" w:rsidP="00806FB8">
      <w:pPr>
        <w:autoSpaceDE w:val="0"/>
        <w:autoSpaceDN w:val="0"/>
        <w:adjustRightInd w:val="0"/>
        <w:rPr>
          <w:sz w:val="24"/>
          <w:szCs w:val="24"/>
        </w:rPr>
      </w:pPr>
      <w:r w:rsidRPr="00A83B39">
        <w:rPr>
          <w:sz w:val="24"/>
          <w:szCs w:val="24"/>
        </w:rPr>
        <w:t>•une concurrence forte, renforcée par l’arrivée des contrats à frais zéro sur Internet.</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Dans l’exemple ci-joint </w:t>
      </w:r>
      <w:proofErr w:type="gramStart"/>
      <w:r w:rsidRPr="00A83B39">
        <w:rPr>
          <w:sz w:val="24"/>
          <w:szCs w:val="24"/>
        </w:rPr>
        <w:t>la</w:t>
      </w:r>
      <w:proofErr w:type="gramEnd"/>
      <w:r w:rsidRPr="00A83B39">
        <w:rPr>
          <w:sz w:val="24"/>
          <w:szCs w:val="24"/>
        </w:rPr>
        <w:t xml:space="preserve"> prime est de 100 dont 3 de frais, soit une prime nette de 97.</w:t>
      </w:r>
    </w:p>
    <w:p w:rsidR="00806FB8" w:rsidRPr="00A83B39" w:rsidRDefault="00806FB8" w:rsidP="00806FB8">
      <w:pPr>
        <w:autoSpaceDE w:val="0"/>
        <w:autoSpaceDN w:val="0"/>
        <w:adjustRightInd w:val="0"/>
        <w:rPr>
          <w:sz w:val="24"/>
          <w:szCs w:val="24"/>
        </w:rPr>
      </w:pPr>
      <w:r w:rsidRPr="00A83B39">
        <w:rPr>
          <w:sz w:val="24"/>
          <w:szCs w:val="24"/>
        </w:rPr>
        <w:t>Les prestations payées se décomposent entre :</w:t>
      </w:r>
    </w:p>
    <w:p w:rsidR="00806FB8" w:rsidRPr="00A83B39" w:rsidRDefault="00806FB8" w:rsidP="00806FB8">
      <w:pPr>
        <w:autoSpaceDE w:val="0"/>
        <w:autoSpaceDN w:val="0"/>
        <w:adjustRightInd w:val="0"/>
        <w:rPr>
          <w:sz w:val="24"/>
          <w:szCs w:val="24"/>
        </w:rPr>
      </w:pPr>
      <w:r w:rsidRPr="00A83B39">
        <w:rPr>
          <w:sz w:val="24"/>
          <w:szCs w:val="24"/>
        </w:rPr>
        <w:t>•la prestation hors intérêts techniques et PB soit 30</w:t>
      </w:r>
    </w:p>
    <w:p w:rsidR="00806FB8" w:rsidRPr="00A83B39" w:rsidRDefault="00806FB8" w:rsidP="00806FB8">
      <w:pPr>
        <w:autoSpaceDE w:val="0"/>
        <w:autoSpaceDN w:val="0"/>
        <w:adjustRightInd w:val="0"/>
        <w:rPr>
          <w:sz w:val="24"/>
          <w:szCs w:val="24"/>
        </w:rPr>
      </w:pPr>
      <w:r w:rsidRPr="00A83B39">
        <w:rPr>
          <w:sz w:val="24"/>
          <w:szCs w:val="24"/>
        </w:rPr>
        <w:t>•les intérêts techniques et la participation aux bénéfices incorporés aux prestations soit 1.</w:t>
      </w:r>
    </w:p>
    <w:p w:rsidR="00806FB8" w:rsidRPr="00A83B39" w:rsidRDefault="00806FB8" w:rsidP="00806FB8">
      <w:pPr>
        <w:autoSpaceDE w:val="0"/>
        <w:autoSpaceDN w:val="0"/>
        <w:adjustRightInd w:val="0"/>
        <w:rPr>
          <w:sz w:val="24"/>
          <w:szCs w:val="24"/>
        </w:rPr>
      </w:pPr>
      <w:r w:rsidRPr="00A83B39">
        <w:rPr>
          <w:sz w:val="24"/>
          <w:szCs w:val="24"/>
        </w:rPr>
        <w:t>•les pénalités de rachats retenues aux clients, ici considérées comme nulles.</w:t>
      </w:r>
    </w:p>
    <w:p w:rsidR="00806FB8" w:rsidRPr="00A83B39" w:rsidRDefault="00806FB8" w:rsidP="00806FB8">
      <w:pPr>
        <w:autoSpaceDE w:val="0"/>
        <w:autoSpaceDN w:val="0"/>
        <w:adjustRightInd w:val="0"/>
        <w:rPr>
          <w:sz w:val="24"/>
          <w:szCs w:val="24"/>
        </w:rPr>
      </w:pPr>
      <w:r w:rsidRPr="00A83B39">
        <w:rPr>
          <w:sz w:val="24"/>
          <w:szCs w:val="24"/>
        </w:rPr>
        <w:t>La variation de PM correspond donc à la somme des primes nettes investies déduction faite des prestations payées soit 97 - 30 = 67</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La marge technique brute est donc théoriquement nulle par construction dans le cas d’un produit euros.</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Marge administrative</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sz w:val="24"/>
          <w:szCs w:val="24"/>
        </w:rPr>
      </w:pPr>
      <w:r w:rsidRPr="00A83B39">
        <w:rPr>
          <w:sz w:val="24"/>
          <w:szCs w:val="24"/>
        </w:rPr>
        <w:t>La marge administrative est constituée par les chargements prélevés aux clients au titre des primes versées. Il existe selon les contrats des chargements supplémentaires sur les différents actes de la vie du contrat (arbitrages, pénalité sur rachats…).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Marge financière</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sz w:val="24"/>
          <w:szCs w:val="24"/>
        </w:rPr>
      </w:pPr>
      <w:r w:rsidRPr="00A83B39">
        <w:rPr>
          <w:sz w:val="24"/>
          <w:szCs w:val="24"/>
        </w:rPr>
        <w:t>La marge financière résulte de l’écart entre les produits financiers réalisés sur le produit et la participation aux résultats revenant à l’assuré. Cette marge est déterminée dans les conditions générales du contrat (les frais de gestion). Elle se situe en général entre 0,50% et 1% des provisions mathématiques. Cependant, lorsque le résultat financier disponible est faible, l’assureur peut être contraint pour des raisons concurrentielles de diminuer cette marge.</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0"/>
          <w:numId w:val="36"/>
        </w:numPr>
        <w:ind w:left="357" w:hanging="357"/>
        <w:contextualSpacing w:val="0"/>
        <w:outlineLvl w:val="1"/>
        <w:rPr>
          <w:rFonts w:ascii="ArialMT" w:hAnsi="ArialMT" w:cs="ArialMT"/>
          <w:color w:val="000000"/>
          <w:szCs w:val="22"/>
        </w:rPr>
      </w:pPr>
      <w:bookmarkStart w:id="70" w:name="_Toc351126784"/>
      <w:r w:rsidRPr="00A83B39">
        <w:rPr>
          <w:rFonts w:ascii="ArialMT" w:hAnsi="ArialMT" w:cs="ArialMT"/>
          <w:color w:val="000000"/>
          <w:szCs w:val="22"/>
        </w:rPr>
        <w:t>Mesure de la rentabilité et valorisation de portefeuille</w:t>
      </w:r>
      <w:bookmarkEnd w:id="70"/>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autoSpaceDE w:val="0"/>
        <w:autoSpaceDN w:val="0"/>
        <w:adjustRightInd w:val="0"/>
        <w:rPr>
          <w:sz w:val="24"/>
          <w:szCs w:val="24"/>
        </w:rPr>
      </w:pPr>
      <w:r w:rsidRPr="00A83B39">
        <w:rPr>
          <w:sz w:val="24"/>
          <w:szCs w:val="24"/>
        </w:rPr>
        <w:t>La production des comptes techniques permet d’expliquer et suivre les éléments qui concourent à la construction du résultat comptable. Cela s’inscrit donc dans une logique d’analyse et de pilotage de la rentabilité à court terme. L’analyse des résultats comptables d’un exercice ne donne qu’une vision imparfaite de la rentabilité à long terme dégagée par l’activité et en particulier des marges qui seront dégagées suite à l’activité nouvelle générée dans l’année. C’est pourquoi, dans le cadre d’une analyse de la rentabilité à long terme, d’autres outils d’analyse vont être utilisés : TRI, VAN et Embedded Value.</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1"/>
          <w:numId w:val="36"/>
        </w:numPr>
        <w:ind w:left="788" w:hanging="431"/>
        <w:contextualSpacing w:val="0"/>
        <w:outlineLvl w:val="2"/>
        <w:rPr>
          <w:rFonts w:ascii="ArialMT" w:hAnsi="ArialMT" w:cs="ArialMT"/>
          <w:color w:val="000000"/>
          <w:szCs w:val="22"/>
        </w:rPr>
      </w:pPr>
      <w:bookmarkStart w:id="71" w:name="_Toc351126785"/>
      <w:r w:rsidRPr="00A83B39">
        <w:rPr>
          <w:rFonts w:ascii="ArialMT" w:hAnsi="ArialMT" w:cs="ArialMT"/>
          <w:color w:val="000000"/>
          <w:szCs w:val="22"/>
        </w:rPr>
        <w:t>Taux de Rentabilité Interne / Valeur Actualisée Nette</w:t>
      </w:r>
      <w:bookmarkEnd w:id="71"/>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Les principaux outils de mesure de la rentabilité à long terme sont le Taux de Rentabilité Interne (TRI) et la Valeur Actuelle Nette (VAN) aussi appelé Valeur Intrinsèque.</w:t>
      </w:r>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pStyle w:val="ListParagraph"/>
        <w:numPr>
          <w:ilvl w:val="2"/>
          <w:numId w:val="36"/>
        </w:numPr>
        <w:autoSpaceDE w:val="0"/>
        <w:autoSpaceDN w:val="0"/>
        <w:adjustRightInd w:val="0"/>
        <w:ind w:left="1225" w:hanging="505"/>
        <w:jc w:val="left"/>
        <w:outlineLvl w:val="3"/>
        <w:rPr>
          <w:rFonts w:ascii="ArialMT" w:hAnsi="ArialMT" w:cs="ArialMT"/>
          <w:color w:val="000000"/>
          <w:szCs w:val="22"/>
        </w:rPr>
      </w:pPr>
      <w:bookmarkStart w:id="72" w:name="_Toc351126786"/>
      <w:r w:rsidRPr="00A83B39">
        <w:rPr>
          <w:rFonts w:ascii="ArialMT" w:hAnsi="ArialMT" w:cs="ArialMT"/>
          <w:color w:val="000000"/>
          <w:szCs w:val="22"/>
        </w:rPr>
        <w:t>Taux de Rentabilité Interne (TRI)</w:t>
      </w:r>
      <w:bookmarkEnd w:id="72"/>
    </w:p>
    <w:p w:rsidR="00806FB8" w:rsidRPr="00A83B39" w:rsidRDefault="00806FB8" w:rsidP="00806FB8">
      <w:pPr>
        <w:pStyle w:val="ListParagraph"/>
        <w:autoSpaceDE w:val="0"/>
        <w:autoSpaceDN w:val="0"/>
        <w:adjustRightInd w:val="0"/>
        <w:ind w:left="1224"/>
        <w:jc w:val="left"/>
        <w:rPr>
          <w:rFonts w:ascii="ArialMT" w:hAnsi="ArialMT" w:cs="ArialMT"/>
          <w:color w:val="000000"/>
          <w:szCs w:val="22"/>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TRI mesure la rentabilité dégagée par une activité nouvelle, en prenant en compte l’ensemble des résultats que cette activité va dégager dans le temps. Le TRI est donc utilisé:</w:t>
      </w:r>
    </w:p>
    <w:p w:rsidR="00806FB8" w:rsidRPr="00A83B39" w:rsidRDefault="00806FB8" w:rsidP="00806FB8">
      <w:pPr>
        <w:autoSpaceDE w:val="0"/>
        <w:autoSpaceDN w:val="0"/>
        <w:adjustRightInd w:val="0"/>
        <w:rPr>
          <w:color w:val="000000"/>
          <w:sz w:val="24"/>
          <w:szCs w:val="24"/>
        </w:rPr>
      </w:pPr>
      <w:r w:rsidRPr="00A83B39">
        <w:rPr>
          <w:color w:val="000000"/>
          <w:sz w:val="24"/>
          <w:szCs w:val="24"/>
        </w:rPr>
        <w:t>•soit pour estimer la rentabilité des nouvelles affaires produites dans l’année ;</w:t>
      </w:r>
    </w:p>
    <w:p w:rsidR="00806FB8" w:rsidRPr="00A83B39" w:rsidRDefault="00806FB8" w:rsidP="00806FB8">
      <w:pPr>
        <w:autoSpaceDE w:val="0"/>
        <w:autoSpaceDN w:val="0"/>
        <w:adjustRightInd w:val="0"/>
        <w:rPr>
          <w:color w:val="000000"/>
          <w:sz w:val="24"/>
          <w:szCs w:val="24"/>
        </w:rPr>
      </w:pPr>
      <w:r w:rsidRPr="00A83B39">
        <w:rPr>
          <w:color w:val="000000"/>
          <w:sz w:val="24"/>
          <w:szCs w:val="24"/>
        </w:rPr>
        <w:t xml:space="preserve">•soit pour valider le lancement d’un nouveau produit (profit </w:t>
      </w:r>
      <w:proofErr w:type="spellStart"/>
      <w:r w:rsidRPr="00A83B39">
        <w:rPr>
          <w:color w:val="000000"/>
          <w:sz w:val="24"/>
          <w:szCs w:val="24"/>
        </w:rPr>
        <w:t>testing</w:t>
      </w:r>
      <w:proofErr w:type="spellEnd"/>
      <w:r w:rsidRPr="00A83B39">
        <w:rPr>
          <w:color w:val="000000"/>
          <w:sz w:val="24"/>
          <w:szCs w:val="24"/>
        </w:rPr>
        <w:t>).</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TRI représente le taux d’actualisation qui annule la valeur des flux investis et dégagés par le produit ou l’activité. Ce calcul est fait en tenant compte des contraintes liées aux règles de solvabilité et intègre donc les flux nécessaires pour couvrir les exigences de capital minimum que l’actionnaire doit affecter à l’activité.</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TRI est le t tel que : Σ F</w:t>
      </w:r>
      <w:r w:rsidRPr="00A83B39">
        <w:rPr>
          <w:color w:val="000000"/>
          <w:sz w:val="24"/>
          <w:szCs w:val="24"/>
          <w:vertAlign w:val="subscript"/>
        </w:rPr>
        <w:t>i</w:t>
      </w:r>
      <w:r w:rsidRPr="00A83B39">
        <w:rPr>
          <w:color w:val="000000"/>
          <w:sz w:val="24"/>
          <w:szCs w:val="24"/>
        </w:rPr>
        <w:t xml:space="preserve"> / (1+t)</w:t>
      </w:r>
      <w:r w:rsidRPr="00A83B39">
        <w:rPr>
          <w:color w:val="000000"/>
          <w:sz w:val="24"/>
          <w:szCs w:val="24"/>
          <w:vertAlign w:val="superscript"/>
        </w:rPr>
        <w:t>i</w:t>
      </w:r>
      <w:r w:rsidRPr="00A83B39">
        <w:rPr>
          <w:color w:val="000000"/>
          <w:sz w:val="24"/>
          <w:szCs w:val="24"/>
        </w:rPr>
        <w:t xml:space="preserve"> =0</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i/>
          <w:iCs/>
          <w:sz w:val="24"/>
          <w:szCs w:val="24"/>
        </w:rPr>
      </w:pPr>
      <w:r w:rsidRPr="00A83B39">
        <w:rPr>
          <w:i/>
          <w:iCs/>
          <w:sz w:val="24"/>
          <w:szCs w:val="24"/>
        </w:rPr>
        <w:t>Exemple :</w:t>
      </w:r>
    </w:p>
    <w:p w:rsidR="00806FB8" w:rsidRPr="00A83B39" w:rsidRDefault="00806FB8" w:rsidP="00806FB8">
      <w:pPr>
        <w:autoSpaceDE w:val="0"/>
        <w:autoSpaceDN w:val="0"/>
        <w:adjustRightInd w:val="0"/>
        <w:rPr>
          <w:i/>
          <w:iCs/>
          <w:sz w:val="24"/>
          <w:szCs w:val="24"/>
        </w:rPr>
      </w:pPr>
    </w:p>
    <w:p w:rsidR="00806FB8" w:rsidRPr="00A83B39" w:rsidRDefault="00806FB8" w:rsidP="00806FB8">
      <w:pPr>
        <w:autoSpaceDE w:val="0"/>
        <w:autoSpaceDN w:val="0"/>
        <w:adjustRightInd w:val="0"/>
        <w:rPr>
          <w:i/>
          <w:iCs/>
          <w:sz w:val="24"/>
          <w:szCs w:val="24"/>
        </w:rPr>
      </w:pPr>
      <w:r w:rsidRPr="00A83B39">
        <w:rPr>
          <w:i/>
          <w:iCs/>
          <w:sz w:val="24"/>
          <w:szCs w:val="24"/>
        </w:rPr>
        <w:t>Un produit génère un flux initial de -100 puis des flux positifs dont la chronique est la suivante.</w:t>
      </w:r>
    </w:p>
    <w:p w:rsidR="00806FB8" w:rsidRPr="00A83B39" w:rsidRDefault="00806FB8" w:rsidP="00806FB8">
      <w:pPr>
        <w:autoSpaceDE w:val="0"/>
        <w:autoSpaceDN w:val="0"/>
        <w:adjustRightInd w:val="0"/>
        <w:rPr>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gridCol w:w="921"/>
        <w:gridCol w:w="921"/>
        <w:gridCol w:w="921"/>
        <w:gridCol w:w="922"/>
        <w:gridCol w:w="922"/>
      </w:tblGrid>
      <w:tr w:rsidR="00806FB8" w:rsidRPr="00A83B39" w:rsidTr="003F50D4">
        <w:tc>
          <w:tcPr>
            <w:tcW w:w="921" w:type="dxa"/>
          </w:tcPr>
          <w:p w:rsidR="00806FB8" w:rsidRPr="00A83B39" w:rsidRDefault="00806FB8" w:rsidP="003F50D4">
            <w:pPr>
              <w:autoSpaceDE w:val="0"/>
              <w:autoSpaceDN w:val="0"/>
              <w:adjustRightInd w:val="0"/>
              <w:rPr>
                <w:i/>
                <w:iCs/>
                <w:sz w:val="24"/>
                <w:szCs w:val="24"/>
              </w:rPr>
            </w:pPr>
            <w:r w:rsidRPr="00A83B39">
              <w:rPr>
                <w:i/>
                <w:iCs/>
                <w:sz w:val="24"/>
                <w:szCs w:val="24"/>
              </w:rPr>
              <w:t xml:space="preserve">i </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 xml:space="preserve">0 </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1</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 xml:space="preserve"> 2</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 xml:space="preserve"> 3</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 xml:space="preserve"> 4 </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 xml:space="preserve">5 </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6</w:t>
            </w:r>
          </w:p>
        </w:tc>
        <w:tc>
          <w:tcPr>
            <w:tcW w:w="922" w:type="dxa"/>
          </w:tcPr>
          <w:p w:rsidR="00806FB8" w:rsidRPr="00A83B39" w:rsidRDefault="00806FB8" w:rsidP="003F50D4">
            <w:pPr>
              <w:autoSpaceDE w:val="0"/>
              <w:autoSpaceDN w:val="0"/>
              <w:adjustRightInd w:val="0"/>
              <w:rPr>
                <w:sz w:val="24"/>
                <w:szCs w:val="24"/>
              </w:rPr>
            </w:pPr>
            <w:r w:rsidRPr="00A83B39">
              <w:rPr>
                <w:sz w:val="24"/>
                <w:szCs w:val="24"/>
              </w:rPr>
              <w:t xml:space="preserve"> 7</w:t>
            </w:r>
          </w:p>
        </w:tc>
        <w:tc>
          <w:tcPr>
            <w:tcW w:w="922" w:type="dxa"/>
          </w:tcPr>
          <w:p w:rsidR="00806FB8" w:rsidRPr="00A83B39" w:rsidRDefault="00806FB8" w:rsidP="003F50D4">
            <w:pPr>
              <w:autoSpaceDE w:val="0"/>
              <w:autoSpaceDN w:val="0"/>
              <w:adjustRightInd w:val="0"/>
              <w:rPr>
                <w:sz w:val="24"/>
                <w:szCs w:val="24"/>
              </w:rPr>
            </w:pPr>
            <w:r w:rsidRPr="00A83B39">
              <w:rPr>
                <w:sz w:val="24"/>
                <w:szCs w:val="24"/>
              </w:rPr>
              <w:t xml:space="preserve"> 8</w:t>
            </w:r>
          </w:p>
        </w:tc>
      </w:tr>
      <w:tr w:rsidR="00806FB8" w:rsidRPr="00A83B39" w:rsidTr="003F50D4">
        <w:tc>
          <w:tcPr>
            <w:tcW w:w="921" w:type="dxa"/>
          </w:tcPr>
          <w:p w:rsidR="00806FB8" w:rsidRPr="00A83B39" w:rsidRDefault="00806FB8" w:rsidP="003F50D4">
            <w:pPr>
              <w:autoSpaceDE w:val="0"/>
              <w:autoSpaceDN w:val="0"/>
              <w:adjustRightInd w:val="0"/>
              <w:rPr>
                <w:i/>
                <w:iCs/>
                <w:sz w:val="24"/>
                <w:szCs w:val="24"/>
              </w:rPr>
            </w:pPr>
            <w:r w:rsidRPr="00A83B39">
              <w:rPr>
                <w:i/>
                <w:iCs/>
                <w:sz w:val="24"/>
                <w:szCs w:val="24"/>
              </w:rPr>
              <w:t>Fi</w:t>
            </w:r>
          </w:p>
        </w:tc>
        <w:tc>
          <w:tcPr>
            <w:tcW w:w="921" w:type="dxa"/>
          </w:tcPr>
          <w:p w:rsidR="00806FB8" w:rsidRPr="00A83B39" w:rsidRDefault="00806FB8" w:rsidP="003F50D4">
            <w:pPr>
              <w:autoSpaceDE w:val="0"/>
              <w:autoSpaceDN w:val="0"/>
              <w:adjustRightInd w:val="0"/>
              <w:rPr>
                <w:sz w:val="24"/>
                <w:szCs w:val="24"/>
              </w:rPr>
            </w:pPr>
            <w:r w:rsidRPr="00A83B39">
              <w:rPr>
                <w:i/>
                <w:iCs/>
                <w:sz w:val="24"/>
                <w:szCs w:val="24"/>
              </w:rPr>
              <w:t xml:space="preserve"> </w:t>
            </w:r>
            <w:r w:rsidRPr="00A83B39">
              <w:rPr>
                <w:sz w:val="24"/>
                <w:szCs w:val="24"/>
              </w:rPr>
              <w:t xml:space="preserve">-100 </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 xml:space="preserve">10 </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 xml:space="preserve">11 </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 xml:space="preserve">12 </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13</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 xml:space="preserve"> 14 </w:t>
            </w:r>
          </w:p>
        </w:tc>
        <w:tc>
          <w:tcPr>
            <w:tcW w:w="921" w:type="dxa"/>
          </w:tcPr>
          <w:p w:rsidR="00806FB8" w:rsidRPr="00A83B39" w:rsidRDefault="00806FB8" w:rsidP="003F50D4">
            <w:pPr>
              <w:autoSpaceDE w:val="0"/>
              <w:autoSpaceDN w:val="0"/>
              <w:adjustRightInd w:val="0"/>
              <w:rPr>
                <w:sz w:val="24"/>
                <w:szCs w:val="24"/>
              </w:rPr>
            </w:pPr>
            <w:r w:rsidRPr="00A83B39">
              <w:rPr>
                <w:sz w:val="24"/>
                <w:szCs w:val="24"/>
              </w:rPr>
              <w:t xml:space="preserve">15 </w:t>
            </w:r>
          </w:p>
        </w:tc>
        <w:tc>
          <w:tcPr>
            <w:tcW w:w="922" w:type="dxa"/>
          </w:tcPr>
          <w:p w:rsidR="00806FB8" w:rsidRPr="00A83B39" w:rsidRDefault="00806FB8" w:rsidP="003F50D4">
            <w:pPr>
              <w:autoSpaceDE w:val="0"/>
              <w:autoSpaceDN w:val="0"/>
              <w:adjustRightInd w:val="0"/>
              <w:rPr>
                <w:sz w:val="24"/>
                <w:szCs w:val="24"/>
              </w:rPr>
            </w:pPr>
            <w:r w:rsidRPr="00A83B39">
              <w:rPr>
                <w:sz w:val="24"/>
                <w:szCs w:val="24"/>
              </w:rPr>
              <w:t xml:space="preserve">16 </w:t>
            </w:r>
          </w:p>
        </w:tc>
        <w:tc>
          <w:tcPr>
            <w:tcW w:w="922" w:type="dxa"/>
          </w:tcPr>
          <w:p w:rsidR="00806FB8" w:rsidRPr="00A83B39" w:rsidRDefault="00806FB8" w:rsidP="003F50D4">
            <w:pPr>
              <w:autoSpaceDE w:val="0"/>
              <w:autoSpaceDN w:val="0"/>
              <w:adjustRightInd w:val="0"/>
              <w:rPr>
                <w:sz w:val="24"/>
                <w:szCs w:val="24"/>
              </w:rPr>
            </w:pPr>
            <w:r w:rsidRPr="00A83B39">
              <w:rPr>
                <w:sz w:val="24"/>
                <w:szCs w:val="24"/>
              </w:rPr>
              <w:t>117</w:t>
            </w:r>
          </w:p>
        </w:tc>
      </w:tr>
    </w:tbl>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i/>
          <w:iCs/>
          <w:sz w:val="24"/>
          <w:szCs w:val="24"/>
        </w:rPr>
      </w:pPr>
      <w:r w:rsidRPr="00A83B39">
        <w:rPr>
          <w:i/>
          <w:iCs/>
          <w:sz w:val="24"/>
          <w:szCs w:val="24"/>
        </w:rPr>
        <w:t>Le TRI est égal dans cet exemple à 12,9%.</w:t>
      </w:r>
    </w:p>
    <w:p w:rsidR="00806FB8" w:rsidRPr="00A83B39" w:rsidRDefault="00806FB8" w:rsidP="00806FB8">
      <w:pPr>
        <w:autoSpaceDE w:val="0"/>
        <w:autoSpaceDN w:val="0"/>
        <w:adjustRightInd w:val="0"/>
        <w:rPr>
          <w:i/>
          <w:iCs/>
          <w:sz w:val="24"/>
          <w:szCs w:val="24"/>
        </w:rPr>
      </w:pPr>
    </w:p>
    <w:p w:rsidR="00806FB8" w:rsidRPr="00A83B39" w:rsidRDefault="00806FB8" w:rsidP="00806FB8">
      <w:pPr>
        <w:autoSpaceDE w:val="0"/>
        <w:autoSpaceDN w:val="0"/>
        <w:adjustRightInd w:val="0"/>
        <w:rPr>
          <w:sz w:val="24"/>
          <w:szCs w:val="24"/>
        </w:rPr>
      </w:pPr>
      <w:r w:rsidRPr="00A83B39">
        <w:rPr>
          <w:sz w:val="24"/>
          <w:szCs w:val="24"/>
        </w:rPr>
        <w:t>Les flux correspondent :</w:t>
      </w:r>
    </w:p>
    <w:p w:rsidR="00806FB8" w:rsidRPr="00A83B39" w:rsidRDefault="00806FB8" w:rsidP="00806FB8">
      <w:pPr>
        <w:autoSpaceDE w:val="0"/>
        <w:autoSpaceDN w:val="0"/>
        <w:adjustRightInd w:val="0"/>
        <w:rPr>
          <w:sz w:val="24"/>
          <w:szCs w:val="24"/>
        </w:rPr>
      </w:pPr>
      <w:r w:rsidRPr="00A83B39">
        <w:rPr>
          <w:sz w:val="24"/>
          <w:szCs w:val="24"/>
        </w:rPr>
        <w:t>•à l’ensemble des marges techniques, administratives et financières prévues sur la durée de vie des contrats ;</w:t>
      </w:r>
    </w:p>
    <w:p w:rsidR="00806FB8" w:rsidRPr="00A83B39" w:rsidRDefault="00806FB8" w:rsidP="00806FB8">
      <w:pPr>
        <w:autoSpaceDE w:val="0"/>
        <w:autoSpaceDN w:val="0"/>
        <w:adjustRightInd w:val="0"/>
        <w:rPr>
          <w:sz w:val="24"/>
          <w:szCs w:val="24"/>
        </w:rPr>
      </w:pPr>
      <w:r w:rsidRPr="00A83B39">
        <w:rPr>
          <w:sz w:val="24"/>
          <w:szCs w:val="24"/>
        </w:rPr>
        <w:lastRenderedPageBreak/>
        <w:t>•au capital minimum nécessaire que doit immobiliser l’actionnaire pour pouvoir exercer son activité (marge de solvabilité);</w:t>
      </w:r>
    </w:p>
    <w:p w:rsidR="00806FB8" w:rsidRPr="00A83B39" w:rsidRDefault="00806FB8" w:rsidP="00806FB8">
      <w:pPr>
        <w:autoSpaceDE w:val="0"/>
        <w:autoSpaceDN w:val="0"/>
        <w:adjustRightInd w:val="0"/>
        <w:rPr>
          <w:sz w:val="24"/>
          <w:szCs w:val="24"/>
        </w:rPr>
      </w:pPr>
      <w:r w:rsidRPr="00A83B39">
        <w:rPr>
          <w:sz w:val="24"/>
          <w:szCs w:val="24"/>
        </w:rPr>
        <w:t>•aux produits des placements liés à cette marge de solvabilité ;</w:t>
      </w:r>
    </w:p>
    <w:p w:rsidR="00806FB8" w:rsidRPr="00A83B39" w:rsidRDefault="00806FB8" w:rsidP="00806FB8">
      <w:pPr>
        <w:autoSpaceDE w:val="0"/>
        <w:autoSpaceDN w:val="0"/>
        <w:adjustRightInd w:val="0"/>
        <w:rPr>
          <w:sz w:val="24"/>
          <w:szCs w:val="24"/>
        </w:rPr>
      </w:pPr>
      <w:r w:rsidRPr="00A83B39">
        <w:rPr>
          <w:sz w:val="24"/>
          <w:szCs w:val="24"/>
        </w:rPr>
        <w:t>•à la charge d’impôt des sociétés de chaque exercice. Lorsque le résultat comptable sera négatif l’on tiendra compte d’une charge d’impôt négative ce qui suppose que ce gain fiscal puisse être imputé sur le résultat positif généré par d’autres produits de la société.</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Exercice 1 :</w:t>
      </w:r>
    </w:p>
    <w:p w:rsidR="00806FB8" w:rsidRPr="00A83B39" w:rsidRDefault="00806FB8" w:rsidP="00806FB8">
      <w:pPr>
        <w:autoSpaceDE w:val="0"/>
        <w:autoSpaceDN w:val="0"/>
        <w:adjustRightInd w:val="0"/>
        <w:rPr>
          <w:sz w:val="24"/>
          <w:szCs w:val="24"/>
        </w:rPr>
      </w:pPr>
    </w:p>
    <w:tbl>
      <w:tblPr>
        <w:tblW w:w="0" w:type="auto"/>
        <w:tblLook w:val="04A0" w:firstRow="1" w:lastRow="0" w:firstColumn="1" w:lastColumn="0" w:noHBand="0" w:noVBand="1"/>
      </w:tblPr>
      <w:tblGrid>
        <w:gridCol w:w="921"/>
        <w:gridCol w:w="921"/>
        <w:gridCol w:w="921"/>
      </w:tblGrid>
      <w:tr w:rsidR="00806FB8" w:rsidRPr="00A83B39" w:rsidTr="003F50D4">
        <w:tc>
          <w:tcPr>
            <w:tcW w:w="921" w:type="dxa"/>
            <w:vAlign w:val="center"/>
          </w:tcPr>
          <w:p w:rsidR="00806FB8" w:rsidRPr="00A83B39" w:rsidRDefault="00806FB8" w:rsidP="003F50D4">
            <w:pPr>
              <w:autoSpaceDE w:val="0"/>
              <w:autoSpaceDN w:val="0"/>
              <w:adjustRightInd w:val="0"/>
              <w:rPr>
                <w:i/>
                <w:iCs/>
                <w:sz w:val="24"/>
                <w:szCs w:val="24"/>
              </w:rPr>
            </w:pPr>
            <w:r w:rsidRPr="00A83B39">
              <w:rPr>
                <w:i/>
                <w:iCs/>
                <w:sz w:val="24"/>
                <w:szCs w:val="24"/>
              </w:rPr>
              <w:t>i</w:t>
            </w:r>
          </w:p>
        </w:tc>
        <w:tc>
          <w:tcPr>
            <w:tcW w:w="921" w:type="dxa"/>
            <w:vAlign w:val="center"/>
          </w:tcPr>
          <w:p w:rsidR="00806FB8" w:rsidRPr="00A83B39" w:rsidRDefault="00806FB8" w:rsidP="003F50D4">
            <w:pPr>
              <w:autoSpaceDE w:val="0"/>
              <w:autoSpaceDN w:val="0"/>
              <w:adjustRightInd w:val="0"/>
              <w:rPr>
                <w:sz w:val="24"/>
                <w:szCs w:val="24"/>
              </w:rPr>
            </w:pPr>
            <w:r w:rsidRPr="00A83B39">
              <w:rPr>
                <w:sz w:val="24"/>
                <w:szCs w:val="24"/>
              </w:rPr>
              <w:t>0</w:t>
            </w:r>
          </w:p>
        </w:tc>
        <w:tc>
          <w:tcPr>
            <w:tcW w:w="921" w:type="dxa"/>
            <w:vAlign w:val="center"/>
          </w:tcPr>
          <w:p w:rsidR="00806FB8" w:rsidRPr="00A83B39" w:rsidRDefault="00806FB8" w:rsidP="003F50D4">
            <w:pPr>
              <w:autoSpaceDE w:val="0"/>
              <w:autoSpaceDN w:val="0"/>
              <w:adjustRightInd w:val="0"/>
              <w:rPr>
                <w:sz w:val="24"/>
                <w:szCs w:val="24"/>
              </w:rPr>
            </w:pPr>
            <w:r w:rsidRPr="00A83B39">
              <w:rPr>
                <w:sz w:val="24"/>
                <w:szCs w:val="24"/>
              </w:rPr>
              <w:t>1</w:t>
            </w:r>
          </w:p>
        </w:tc>
      </w:tr>
      <w:tr w:rsidR="00806FB8" w:rsidRPr="00A83B39" w:rsidTr="003F50D4">
        <w:tc>
          <w:tcPr>
            <w:tcW w:w="921" w:type="dxa"/>
            <w:vAlign w:val="center"/>
          </w:tcPr>
          <w:p w:rsidR="00806FB8" w:rsidRPr="00A83B39" w:rsidRDefault="00806FB8" w:rsidP="003F50D4">
            <w:pPr>
              <w:autoSpaceDE w:val="0"/>
              <w:autoSpaceDN w:val="0"/>
              <w:adjustRightInd w:val="0"/>
              <w:rPr>
                <w:i/>
                <w:iCs/>
                <w:sz w:val="24"/>
                <w:szCs w:val="24"/>
              </w:rPr>
            </w:pPr>
            <w:r w:rsidRPr="00A83B39">
              <w:rPr>
                <w:i/>
                <w:iCs/>
                <w:sz w:val="24"/>
                <w:szCs w:val="24"/>
              </w:rPr>
              <w:t>Fi</w:t>
            </w:r>
          </w:p>
        </w:tc>
        <w:tc>
          <w:tcPr>
            <w:tcW w:w="921" w:type="dxa"/>
            <w:vAlign w:val="center"/>
          </w:tcPr>
          <w:p w:rsidR="00806FB8" w:rsidRPr="00A83B39" w:rsidRDefault="00806FB8" w:rsidP="003F50D4">
            <w:pPr>
              <w:autoSpaceDE w:val="0"/>
              <w:autoSpaceDN w:val="0"/>
              <w:adjustRightInd w:val="0"/>
              <w:rPr>
                <w:sz w:val="24"/>
                <w:szCs w:val="24"/>
              </w:rPr>
            </w:pPr>
            <w:r w:rsidRPr="00A83B39">
              <w:rPr>
                <w:sz w:val="24"/>
                <w:szCs w:val="24"/>
              </w:rPr>
              <w:t>+10</w:t>
            </w:r>
          </w:p>
        </w:tc>
        <w:tc>
          <w:tcPr>
            <w:tcW w:w="921" w:type="dxa"/>
            <w:vAlign w:val="center"/>
          </w:tcPr>
          <w:p w:rsidR="00806FB8" w:rsidRPr="00A83B39" w:rsidRDefault="00806FB8" w:rsidP="003F50D4">
            <w:pPr>
              <w:autoSpaceDE w:val="0"/>
              <w:autoSpaceDN w:val="0"/>
              <w:adjustRightInd w:val="0"/>
              <w:rPr>
                <w:sz w:val="24"/>
                <w:szCs w:val="24"/>
              </w:rPr>
            </w:pPr>
            <w:r w:rsidRPr="00A83B39">
              <w:rPr>
                <w:sz w:val="24"/>
                <w:szCs w:val="24"/>
              </w:rPr>
              <w:t>-11</w:t>
            </w:r>
          </w:p>
        </w:tc>
      </w:tr>
    </w:tbl>
    <w:p w:rsidR="00806FB8" w:rsidRPr="00A83B39" w:rsidRDefault="00806FB8" w:rsidP="00806FB8">
      <w:pPr>
        <w:autoSpaceDE w:val="0"/>
        <w:autoSpaceDN w:val="0"/>
        <w:adjustRightInd w:val="0"/>
        <w:rPr>
          <w:sz w:val="24"/>
          <w:szCs w:val="24"/>
        </w:rPr>
      </w:pPr>
    </w:p>
    <w:p w:rsidR="00806FB8" w:rsidRPr="00806FB8" w:rsidRDefault="00806FB8" w:rsidP="00806FB8">
      <w:pPr>
        <w:autoSpaceDE w:val="0"/>
        <w:autoSpaceDN w:val="0"/>
        <w:adjustRightInd w:val="0"/>
        <w:rPr>
          <w:i/>
          <w:iCs/>
          <w:sz w:val="24"/>
          <w:szCs w:val="24"/>
        </w:rPr>
      </w:pPr>
      <m:oMathPara>
        <m:oMath>
          <m:nary>
            <m:naryPr>
              <m:chr m:val="∑"/>
              <m:limLoc m:val="undOvr"/>
              <m:ctrlPr>
                <w:rPr>
                  <w:rFonts w:ascii="Cambria Math" w:hAnsi="Cambria Math"/>
                  <w:i/>
                  <w:color w:val="000000"/>
                  <w:sz w:val="24"/>
                  <w:szCs w:val="24"/>
                </w:rPr>
              </m:ctrlPr>
            </m:naryPr>
            <m:sub>
              <m:r>
                <w:rPr>
                  <w:rFonts w:ascii="Cambria Math" w:hAnsi="Cambria Math"/>
                  <w:color w:val="000000"/>
                  <w:sz w:val="24"/>
                  <w:szCs w:val="24"/>
                </w:rPr>
                <m:t>i</m:t>
              </m:r>
              <m:r>
                <w:rPr>
                  <w:rFonts w:ascii="Cambria Math"/>
                  <w:color w:val="000000"/>
                  <w:sz w:val="24"/>
                  <w:szCs w:val="24"/>
                </w:rPr>
                <m:t>=0</m:t>
              </m:r>
            </m:sub>
            <m:sup>
              <m:r>
                <w:rPr>
                  <w:rFonts w:ascii="Cambria Math"/>
                  <w:color w:val="000000"/>
                  <w:sz w:val="24"/>
                  <w:szCs w:val="24"/>
                </w:rPr>
                <m:t>1</m:t>
              </m:r>
            </m:sup>
            <m:e>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i</m:t>
                      </m:r>
                    </m:sub>
                  </m:sSub>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hAnsi="Cambria Math"/>
                          <w:color w:val="000000"/>
                          <w:sz w:val="24"/>
                          <w:szCs w:val="24"/>
                        </w:rPr>
                        <m:t>i</m:t>
                      </m:r>
                    </m:sup>
                  </m:sSup>
                </m:den>
              </m:f>
            </m:e>
          </m:nary>
          <m:r>
            <w:rPr>
              <w:rFonts w:ascii="Cambria Math"/>
              <w:sz w:val="24"/>
              <w:szCs w:val="24"/>
            </w:rPr>
            <m:t>=0</m:t>
          </m:r>
        </m:oMath>
      </m:oMathPara>
    </w:p>
    <w:p w:rsidR="00806FB8" w:rsidRPr="00A83B39" w:rsidRDefault="00806FB8" w:rsidP="00806FB8">
      <w:pPr>
        <w:autoSpaceDE w:val="0"/>
        <w:autoSpaceDN w:val="0"/>
        <w:adjustRightInd w:val="0"/>
        <w:rPr>
          <w:i/>
          <w:iCs/>
          <w:sz w:val="24"/>
          <w:szCs w:val="24"/>
        </w:rPr>
      </w:pPr>
    </w:p>
    <w:p w:rsidR="00806FB8" w:rsidRPr="00806FB8" w:rsidRDefault="00806FB8" w:rsidP="00806FB8">
      <w:pPr>
        <w:autoSpaceDE w:val="0"/>
        <w:autoSpaceDN w:val="0"/>
        <w:adjustRightInd w:val="0"/>
        <w:rPr>
          <w:i/>
          <w:iCs/>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color w:val="000000"/>
                      <w:sz w:val="24"/>
                      <w:szCs w:val="24"/>
                    </w:rPr>
                    <m:t>0</m:t>
                  </m:r>
                </m:sup>
              </m:sSup>
            </m:den>
          </m:f>
          <m:r>
            <w:rPr>
              <w:rFonts w:ascii="Cambria Math"/>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1</m:t>
                  </m:r>
                </m:sub>
              </m:sSub>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color w:val="000000"/>
                      <w:sz w:val="24"/>
                      <w:szCs w:val="24"/>
                    </w:rPr>
                    <m:t>1</m:t>
                  </m:r>
                </m:sup>
              </m:sSup>
            </m:den>
          </m:f>
          <m:r>
            <w:rPr>
              <w:rFonts w:ascii="Cambria Math"/>
              <w:sz w:val="24"/>
              <w:szCs w:val="24"/>
            </w:rPr>
            <m:t>=0</m:t>
          </m:r>
        </m:oMath>
      </m:oMathPara>
    </w:p>
    <w:p w:rsidR="00806FB8" w:rsidRPr="00A83B39" w:rsidRDefault="00806FB8" w:rsidP="00806FB8">
      <w:pPr>
        <w:autoSpaceDE w:val="0"/>
        <w:autoSpaceDN w:val="0"/>
        <w:adjustRightInd w:val="0"/>
        <w:rPr>
          <w:i/>
          <w:iCs/>
          <w:sz w:val="24"/>
          <w:szCs w:val="24"/>
        </w:rPr>
      </w:pPr>
    </w:p>
    <w:p w:rsidR="00806FB8" w:rsidRPr="00806FB8" w:rsidRDefault="00806FB8" w:rsidP="00806FB8">
      <w:pPr>
        <w:autoSpaceDE w:val="0"/>
        <w:autoSpaceDN w:val="0"/>
        <w:adjustRightInd w:val="0"/>
        <w:rPr>
          <w:i/>
          <w:iCs/>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r>
            <w:rPr>
              <w:rFonts w:ascii="Cambria Math"/>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1</m:t>
                  </m:r>
                </m:sub>
              </m:sSub>
            </m:num>
            <m:den>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den>
          </m:f>
          <m:r>
            <w:rPr>
              <w:rFonts w:ascii="Cambria Math"/>
              <w:sz w:val="24"/>
              <w:szCs w:val="24"/>
            </w:rPr>
            <m:t>=0</m:t>
          </m:r>
        </m:oMath>
      </m:oMathPara>
    </w:p>
    <w:p w:rsidR="00806FB8" w:rsidRPr="00806FB8" w:rsidRDefault="00806FB8" w:rsidP="00806FB8">
      <w:pPr>
        <w:autoSpaceDE w:val="0"/>
        <w:autoSpaceDN w:val="0"/>
        <w:adjustRightInd w:val="0"/>
        <w:rPr>
          <w:i/>
          <w:iCs/>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r>
            <w:rPr>
              <w:rFonts w:ascii="Cambria Math"/>
              <w:sz w:val="24"/>
              <w:szCs w:val="24"/>
            </w:rPr>
            <m:t xml:space="preserve"> </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sSup>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sSup>
            </m:den>
          </m:f>
          <m:r>
            <w:rPr>
              <w:rFonts w:ascii="Cambria Math"/>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1</m:t>
                  </m:r>
                </m:sub>
              </m:sSub>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sSup>
            </m:den>
          </m:f>
          <m:r>
            <w:rPr>
              <w:rFonts w:ascii="Cambria Math"/>
              <w:sz w:val="24"/>
              <w:szCs w:val="24"/>
            </w:rPr>
            <m:t>=0</m:t>
          </m:r>
        </m:oMath>
      </m:oMathPara>
    </w:p>
    <w:p w:rsidR="00806FB8" w:rsidRPr="00A83B39" w:rsidRDefault="00806FB8" w:rsidP="00806FB8">
      <w:pPr>
        <w:autoSpaceDE w:val="0"/>
        <w:autoSpaceDN w:val="0"/>
        <w:adjustRightInd w:val="0"/>
        <w:rPr>
          <w:i/>
          <w:iCs/>
          <w:sz w:val="24"/>
          <w:szCs w:val="24"/>
        </w:rPr>
      </w:pPr>
    </w:p>
    <w:p w:rsidR="00806FB8" w:rsidRPr="00806FB8" w:rsidRDefault="00806FB8" w:rsidP="00806FB8">
      <w:pPr>
        <w:autoSpaceDE w:val="0"/>
        <w:autoSpaceDN w:val="0"/>
        <w:adjustRightInd w:val="0"/>
        <w:rPr>
          <w:i/>
          <w:iCs/>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r>
            <w:rPr>
              <w:rFonts w:ascii="Cambria Math"/>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sSup>
          <m:r>
            <w:rPr>
              <w:rFonts w:ascii="Cambria Math"/>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1</m:t>
              </m:r>
            </m:sub>
          </m:sSub>
          <m:r>
            <w:rPr>
              <w:rFonts w:ascii="Cambria Math"/>
              <w:sz w:val="24"/>
              <w:szCs w:val="24"/>
            </w:rPr>
            <m:t>=0</m:t>
          </m:r>
        </m:oMath>
      </m:oMathPara>
    </w:p>
    <w:p w:rsidR="00806FB8" w:rsidRPr="00A83B39" w:rsidRDefault="00806FB8" w:rsidP="00806FB8">
      <w:pPr>
        <w:autoSpaceDE w:val="0"/>
        <w:autoSpaceDN w:val="0"/>
        <w:adjustRightInd w:val="0"/>
        <w:rPr>
          <w:i/>
          <w:iCs/>
          <w:sz w:val="24"/>
          <w:szCs w:val="24"/>
        </w:rPr>
      </w:pPr>
    </w:p>
    <w:p w:rsidR="00806FB8" w:rsidRPr="00A83B39" w:rsidRDefault="00806FB8" w:rsidP="00806FB8">
      <w:pPr>
        <w:autoSpaceDE w:val="0"/>
        <w:autoSpaceDN w:val="0"/>
        <w:adjustRightInd w:val="0"/>
        <w:rPr>
          <w:i/>
          <w:iCs/>
          <w:sz w:val="24"/>
          <w:szCs w:val="24"/>
        </w:rPr>
      </w:pPr>
    </w:p>
    <w:p w:rsidR="00806FB8" w:rsidRPr="00806FB8" w:rsidRDefault="00806FB8" w:rsidP="00806FB8">
      <w:pPr>
        <w:autoSpaceDE w:val="0"/>
        <w:autoSpaceDN w:val="0"/>
        <w:adjustRightInd w:val="0"/>
        <w:rPr>
          <w:rFonts w:ascii="Cambria Math"/>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r>
            <w:rPr>
              <w:rFonts w:ascii="Cambria Math"/>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sSup>
            <m:sSupPr>
              <m:ctrlPr>
                <w:rPr>
                  <w:rFonts w:ascii="Cambria Math" w:hAnsi="Cambria Math"/>
                  <w:i/>
                  <w:color w:val="000000"/>
                  <w:sz w:val="24"/>
                  <w:szCs w:val="24"/>
                </w:rPr>
              </m:ctrlPr>
            </m:sSupPr>
            <m:e>
              <m:r>
                <w:rPr>
                  <w:rFonts w:ascii="Cambria Math" w:hAnsi="Cambria Math"/>
                  <w:color w:val="000000"/>
                  <w:sz w:val="24"/>
                  <w:szCs w:val="24"/>
                </w:rPr>
                <m:t>t</m:t>
              </m:r>
            </m:e>
            <m:sup/>
          </m:sSup>
          <m:r>
            <w:rPr>
              <w:rFonts w:ascii="Cambria Math"/>
              <w:sz w:val="24"/>
              <w:szCs w:val="24"/>
            </w:rPr>
            <m:t>+</m:t>
          </m:r>
          <m:sSub>
            <m:sSubPr>
              <m:ctrlPr>
                <w:rPr>
                  <w:rFonts w:ascii="Cambria Math" w:hAnsi="Cambria Math"/>
                  <w:i/>
                  <w:color w:val="000000"/>
                  <w:sz w:val="24"/>
                  <w:szCs w:val="24"/>
                </w:rPr>
              </m:ctrlPr>
            </m:sSubPr>
            <m:e>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r>
                <w:rPr>
                  <w:rFonts w:ascii="Cambria Math"/>
                  <w:color w:val="000000"/>
                  <w:sz w:val="24"/>
                  <w:szCs w:val="24"/>
                </w:rPr>
                <m:t>+</m:t>
              </m:r>
              <m:r>
                <w:rPr>
                  <w:rFonts w:ascii="Cambria Math" w:hAnsi="Cambria Math"/>
                  <w:color w:val="000000"/>
                  <w:sz w:val="24"/>
                  <w:szCs w:val="24"/>
                </w:rPr>
                <m:t>F</m:t>
              </m:r>
            </m:e>
            <m:sub>
              <m:r>
                <w:rPr>
                  <w:rFonts w:ascii="Cambria Math"/>
                  <w:color w:val="000000"/>
                  <w:sz w:val="24"/>
                  <w:szCs w:val="24"/>
                </w:rPr>
                <m:t>1</m:t>
              </m:r>
            </m:sub>
          </m:sSub>
          <m:r>
            <w:rPr>
              <w:rFonts w:ascii="Cambria Math"/>
              <w:sz w:val="24"/>
              <w:szCs w:val="24"/>
            </w:rPr>
            <m:t>=0</m:t>
          </m:r>
        </m:oMath>
      </m:oMathPara>
    </w:p>
    <w:p w:rsidR="00806FB8" w:rsidRPr="00BA0911" w:rsidRDefault="00806FB8" w:rsidP="00806FB8">
      <w:pPr>
        <w:autoSpaceDE w:val="0"/>
        <w:autoSpaceDN w:val="0"/>
        <w:adjustRightInd w:val="0"/>
        <w:rPr>
          <w:rFonts w:ascii="Cambria Math"/>
          <w:sz w:val="24"/>
          <w:szCs w:val="24"/>
        </w:rPr>
      </w:pPr>
    </w:p>
    <w:p w:rsidR="00806FB8" w:rsidRPr="00806FB8" w:rsidRDefault="00806FB8" w:rsidP="00806FB8">
      <w:pPr>
        <w:autoSpaceDE w:val="0"/>
        <w:autoSpaceDN w:val="0"/>
        <w:adjustRightInd w:val="0"/>
        <w:rPr>
          <w:i/>
          <w:iCs/>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r>
            <w:rPr>
              <w:rFonts w:ascii="Cambria Math"/>
              <w:sz w:val="24"/>
              <w:szCs w:val="24"/>
            </w:rPr>
            <m:t xml:space="preserve"> </m:t>
          </m:r>
          <m:r>
            <w:rPr>
              <w:rFonts w:ascii="Cambria Math" w:hAnsi="Cambria Math"/>
              <w:color w:val="000000"/>
              <w:sz w:val="24"/>
              <w:szCs w:val="24"/>
            </w:rPr>
            <m:t>t</m:t>
          </m:r>
          <m:r>
            <w:rPr>
              <w:rFonts w:ascii="Cambria Math"/>
              <w:sz w:val="24"/>
              <w:szCs w:val="24"/>
            </w:rPr>
            <m:t>=</m:t>
          </m:r>
          <m:r>
            <w:rPr>
              <w:rFonts w:ascii="Cambria Math"/>
              <w:sz w:val="24"/>
              <w:szCs w:val="24"/>
            </w:rPr>
            <m:t>-</m:t>
          </m:r>
          <m:f>
            <m:fPr>
              <m:ctrlPr>
                <w:rPr>
                  <w:rFonts w:ascii="Cambria Math" w:hAnsi="Cambria Math"/>
                  <w:i/>
                  <w:sz w:val="24"/>
                  <w:szCs w:val="24"/>
                </w:rPr>
              </m:ctrlPr>
            </m:fPr>
            <m:num>
              <m:sSub>
                <m:sSubPr>
                  <m:ctrlPr>
                    <w:rPr>
                      <w:rFonts w:ascii="Cambria Math" w:hAnsi="Cambria Math"/>
                      <w:i/>
                      <w:color w:val="000000"/>
                      <w:sz w:val="24"/>
                      <w:szCs w:val="24"/>
                    </w:rPr>
                  </m:ctrlPr>
                </m:sSubPr>
                <m:e>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r>
                    <w:rPr>
                      <w:rFonts w:ascii="Cambria Math"/>
                      <w:color w:val="000000"/>
                      <w:sz w:val="24"/>
                      <w:szCs w:val="24"/>
                    </w:rPr>
                    <m:t>+</m:t>
                  </m:r>
                  <m:r>
                    <w:rPr>
                      <w:rFonts w:ascii="Cambria Math" w:hAnsi="Cambria Math"/>
                      <w:color w:val="000000"/>
                      <w:sz w:val="24"/>
                      <w:szCs w:val="24"/>
                    </w:rPr>
                    <m:t>F</m:t>
                  </m:r>
                </m:e>
                <m:sub>
                  <m:r>
                    <w:rPr>
                      <w:rFonts w:ascii="Cambria Math"/>
                      <w:color w:val="000000"/>
                      <w:sz w:val="24"/>
                      <w:szCs w:val="24"/>
                    </w:rPr>
                    <m:t>1</m:t>
                  </m:r>
                </m:sub>
              </m:sSub>
            </m:num>
            <m:den>
              <m:sSub>
                <m:sSubPr>
                  <m:ctrlPr>
                    <w:rPr>
                      <w:rFonts w:ascii="Cambria Math" w:hAnsi="Cambria Math"/>
                      <w:i/>
                      <w:sz w:val="24"/>
                      <w:szCs w:val="24"/>
                    </w:rPr>
                  </m:ctrlPr>
                </m:sSubPr>
                <m:e>
                  <m:r>
                    <w:rPr>
                      <w:rFonts w:ascii="Cambria Math" w:hAnsi="Cambria Math"/>
                      <w:sz w:val="24"/>
                      <w:szCs w:val="24"/>
                    </w:rPr>
                    <m:t>F</m:t>
                  </m:r>
                </m:e>
                <m:sub>
                  <m:r>
                    <w:rPr>
                      <w:rFonts w:ascii="Cambria Math"/>
                      <w:sz w:val="24"/>
                      <w:szCs w:val="24"/>
                    </w:rPr>
                    <m:t>0</m:t>
                  </m:r>
                </m:sub>
              </m:sSub>
            </m:den>
          </m:f>
        </m:oMath>
      </m:oMathPara>
    </w:p>
    <w:p w:rsidR="00806FB8" w:rsidRPr="00A83B39" w:rsidRDefault="00806FB8" w:rsidP="00806FB8">
      <w:pPr>
        <w:autoSpaceDE w:val="0"/>
        <w:autoSpaceDN w:val="0"/>
        <w:adjustRightInd w:val="0"/>
        <w:rPr>
          <w:i/>
          <w:iCs/>
          <w:sz w:val="24"/>
          <w:szCs w:val="24"/>
        </w:rPr>
      </w:pPr>
    </w:p>
    <w:p w:rsidR="00806FB8" w:rsidRDefault="00806FB8" w:rsidP="00806FB8">
      <w:pPr>
        <w:autoSpaceDE w:val="0"/>
        <w:autoSpaceDN w:val="0"/>
        <w:adjustRightInd w:val="0"/>
        <w:rPr>
          <w:i/>
          <w:iCs/>
          <w:sz w:val="24"/>
          <w:szCs w:val="24"/>
        </w:rPr>
      </w:pPr>
      <w:r w:rsidRPr="00A83B39">
        <w:rPr>
          <w:i/>
          <w:iCs/>
          <w:sz w:val="24"/>
          <w:szCs w:val="24"/>
        </w:rPr>
        <w:t>Donc, le TRI est de 10%.</w:t>
      </w:r>
    </w:p>
    <w:p w:rsidR="00806FB8" w:rsidRDefault="00806FB8" w:rsidP="00806FB8">
      <w:pPr>
        <w:autoSpaceDE w:val="0"/>
        <w:autoSpaceDN w:val="0"/>
        <w:adjustRightInd w:val="0"/>
        <w:rPr>
          <w:i/>
          <w:iCs/>
          <w:sz w:val="24"/>
          <w:szCs w:val="24"/>
        </w:rPr>
      </w:pPr>
    </w:p>
    <w:p w:rsidR="00806FB8" w:rsidRDefault="00806FB8" w:rsidP="00806FB8">
      <w:pPr>
        <w:autoSpaceDE w:val="0"/>
        <w:autoSpaceDN w:val="0"/>
        <w:adjustRightInd w:val="0"/>
        <w:rPr>
          <w:i/>
          <w:iCs/>
          <w:sz w:val="24"/>
          <w:szCs w:val="24"/>
        </w:rPr>
      </w:pPr>
    </w:p>
    <w:p w:rsidR="00806FB8" w:rsidRDefault="00806FB8" w:rsidP="00806FB8">
      <w:pPr>
        <w:autoSpaceDE w:val="0"/>
        <w:autoSpaceDN w:val="0"/>
        <w:adjustRightInd w:val="0"/>
        <w:rPr>
          <w:i/>
          <w:iCs/>
          <w:sz w:val="24"/>
          <w:szCs w:val="24"/>
        </w:rPr>
      </w:pPr>
    </w:p>
    <w:p w:rsidR="00806FB8" w:rsidRDefault="00806FB8" w:rsidP="00806FB8">
      <w:pPr>
        <w:autoSpaceDE w:val="0"/>
        <w:autoSpaceDN w:val="0"/>
        <w:adjustRightInd w:val="0"/>
        <w:rPr>
          <w:i/>
          <w:iCs/>
          <w:sz w:val="24"/>
          <w:szCs w:val="24"/>
        </w:rPr>
      </w:pPr>
    </w:p>
    <w:p w:rsidR="00806FB8" w:rsidRDefault="00806FB8" w:rsidP="00806FB8">
      <w:pPr>
        <w:autoSpaceDE w:val="0"/>
        <w:autoSpaceDN w:val="0"/>
        <w:adjustRightInd w:val="0"/>
        <w:rPr>
          <w:i/>
          <w:iCs/>
          <w:sz w:val="24"/>
          <w:szCs w:val="24"/>
        </w:rPr>
      </w:pPr>
    </w:p>
    <w:p w:rsidR="00806FB8" w:rsidRPr="00A83B39" w:rsidRDefault="00806FB8" w:rsidP="00806FB8">
      <w:pPr>
        <w:autoSpaceDE w:val="0"/>
        <w:autoSpaceDN w:val="0"/>
        <w:adjustRightInd w:val="0"/>
        <w:rPr>
          <w:i/>
          <w:iCs/>
          <w:sz w:val="24"/>
          <w:szCs w:val="24"/>
        </w:rPr>
      </w:pP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Exercice 2 :</w:t>
      </w:r>
    </w:p>
    <w:p w:rsidR="00806FB8" w:rsidRPr="00A83B39" w:rsidRDefault="00806FB8" w:rsidP="00806FB8">
      <w:pPr>
        <w:autoSpaceDE w:val="0"/>
        <w:autoSpaceDN w:val="0"/>
        <w:adjustRightInd w:val="0"/>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tblGrid>
      <w:tr w:rsidR="00806FB8" w:rsidRPr="00A83B39" w:rsidTr="003F50D4">
        <w:tc>
          <w:tcPr>
            <w:tcW w:w="921" w:type="dxa"/>
            <w:vAlign w:val="center"/>
          </w:tcPr>
          <w:p w:rsidR="00806FB8" w:rsidRPr="00A83B39" w:rsidRDefault="00806FB8" w:rsidP="003F50D4">
            <w:pPr>
              <w:autoSpaceDE w:val="0"/>
              <w:autoSpaceDN w:val="0"/>
              <w:adjustRightInd w:val="0"/>
              <w:rPr>
                <w:i/>
                <w:iCs/>
                <w:sz w:val="24"/>
                <w:szCs w:val="24"/>
              </w:rPr>
            </w:pPr>
            <w:r w:rsidRPr="00A83B39">
              <w:rPr>
                <w:i/>
                <w:iCs/>
                <w:sz w:val="24"/>
                <w:szCs w:val="24"/>
              </w:rPr>
              <w:t>i</w:t>
            </w:r>
          </w:p>
        </w:tc>
        <w:tc>
          <w:tcPr>
            <w:tcW w:w="921" w:type="dxa"/>
            <w:vAlign w:val="center"/>
          </w:tcPr>
          <w:p w:rsidR="00806FB8" w:rsidRPr="00A83B39" w:rsidRDefault="00806FB8" w:rsidP="003F50D4">
            <w:pPr>
              <w:autoSpaceDE w:val="0"/>
              <w:autoSpaceDN w:val="0"/>
              <w:adjustRightInd w:val="0"/>
              <w:rPr>
                <w:sz w:val="24"/>
                <w:szCs w:val="24"/>
              </w:rPr>
            </w:pPr>
            <w:r w:rsidRPr="00A83B39">
              <w:rPr>
                <w:sz w:val="24"/>
                <w:szCs w:val="24"/>
              </w:rPr>
              <w:t>0</w:t>
            </w:r>
          </w:p>
        </w:tc>
        <w:tc>
          <w:tcPr>
            <w:tcW w:w="921" w:type="dxa"/>
            <w:vAlign w:val="center"/>
          </w:tcPr>
          <w:p w:rsidR="00806FB8" w:rsidRPr="00A83B39" w:rsidRDefault="00806FB8" w:rsidP="003F50D4">
            <w:pPr>
              <w:autoSpaceDE w:val="0"/>
              <w:autoSpaceDN w:val="0"/>
              <w:adjustRightInd w:val="0"/>
              <w:rPr>
                <w:sz w:val="24"/>
                <w:szCs w:val="24"/>
              </w:rPr>
            </w:pPr>
            <w:r w:rsidRPr="00A83B39">
              <w:rPr>
                <w:sz w:val="24"/>
                <w:szCs w:val="24"/>
              </w:rPr>
              <w:t>1</w:t>
            </w:r>
          </w:p>
        </w:tc>
        <w:tc>
          <w:tcPr>
            <w:tcW w:w="921" w:type="dxa"/>
            <w:vAlign w:val="center"/>
          </w:tcPr>
          <w:p w:rsidR="00806FB8" w:rsidRPr="00A83B39" w:rsidRDefault="00806FB8" w:rsidP="003F50D4">
            <w:pPr>
              <w:autoSpaceDE w:val="0"/>
              <w:autoSpaceDN w:val="0"/>
              <w:adjustRightInd w:val="0"/>
              <w:rPr>
                <w:sz w:val="24"/>
                <w:szCs w:val="24"/>
              </w:rPr>
            </w:pPr>
            <w:r w:rsidRPr="00A83B39">
              <w:rPr>
                <w:sz w:val="24"/>
                <w:szCs w:val="24"/>
              </w:rPr>
              <w:t>2</w:t>
            </w:r>
          </w:p>
        </w:tc>
      </w:tr>
      <w:tr w:rsidR="00806FB8" w:rsidRPr="00A83B39" w:rsidTr="003F50D4">
        <w:tc>
          <w:tcPr>
            <w:tcW w:w="921" w:type="dxa"/>
            <w:vAlign w:val="center"/>
          </w:tcPr>
          <w:p w:rsidR="00806FB8" w:rsidRPr="00A83B39" w:rsidRDefault="00806FB8" w:rsidP="003F50D4">
            <w:pPr>
              <w:autoSpaceDE w:val="0"/>
              <w:autoSpaceDN w:val="0"/>
              <w:adjustRightInd w:val="0"/>
              <w:rPr>
                <w:i/>
                <w:iCs/>
                <w:sz w:val="24"/>
                <w:szCs w:val="24"/>
              </w:rPr>
            </w:pPr>
            <w:r w:rsidRPr="00A83B39">
              <w:rPr>
                <w:i/>
                <w:iCs/>
                <w:sz w:val="24"/>
                <w:szCs w:val="24"/>
              </w:rPr>
              <w:t>Fi</w:t>
            </w:r>
          </w:p>
        </w:tc>
        <w:tc>
          <w:tcPr>
            <w:tcW w:w="921" w:type="dxa"/>
            <w:vAlign w:val="center"/>
          </w:tcPr>
          <w:p w:rsidR="00806FB8" w:rsidRPr="00A83B39" w:rsidRDefault="00806FB8" w:rsidP="003F50D4">
            <w:pPr>
              <w:autoSpaceDE w:val="0"/>
              <w:autoSpaceDN w:val="0"/>
              <w:adjustRightInd w:val="0"/>
              <w:rPr>
                <w:sz w:val="24"/>
                <w:szCs w:val="24"/>
              </w:rPr>
            </w:pPr>
            <w:r w:rsidRPr="00A83B39">
              <w:rPr>
                <w:sz w:val="24"/>
                <w:szCs w:val="24"/>
              </w:rPr>
              <w:t>+10</w:t>
            </w:r>
          </w:p>
        </w:tc>
        <w:tc>
          <w:tcPr>
            <w:tcW w:w="921" w:type="dxa"/>
            <w:vAlign w:val="center"/>
          </w:tcPr>
          <w:p w:rsidR="00806FB8" w:rsidRPr="00A83B39" w:rsidRDefault="00806FB8" w:rsidP="003F50D4">
            <w:pPr>
              <w:autoSpaceDE w:val="0"/>
              <w:autoSpaceDN w:val="0"/>
              <w:adjustRightInd w:val="0"/>
              <w:rPr>
                <w:sz w:val="24"/>
                <w:szCs w:val="24"/>
              </w:rPr>
            </w:pPr>
            <w:r w:rsidRPr="00A83B39">
              <w:rPr>
                <w:sz w:val="24"/>
                <w:szCs w:val="24"/>
              </w:rPr>
              <w:t>-5</w:t>
            </w:r>
          </w:p>
        </w:tc>
        <w:tc>
          <w:tcPr>
            <w:tcW w:w="921" w:type="dxa"/>
            <w:vAlign w:val="center"/>
          </w:tcPr>
          <w:p w:rsidR="00806FB8" w:rsidRPr="00A83B39" w:rsidRDefault="00806FB8" w:rsidP="003F50D4">
            <w:pPr>
              <w:autoSpaceDE w:val="0"/>
              <w:autoSpaceDN w:val="0"/>
              <w:adjustRightInd w:val="0"/>
              <w:rPr>
                <w:sz w:val="24"/>
                <w:szCs w:val="24"/>
              </w:rPr>
            </w:pPr>
            <w:r w:rsidRPr="00A83B39">
              <w:rPr>
                <w:sz w:val="24"/>
                <w:szCs w:val="24"/>
              </w:rPr>
              <w:t>-6</w:t>
            </w:r>
          </w:p>
        </w:tc>
      </w:tr>
    </w:tbl>
    <w:p w:rsidR="00806FB8" w:rsidRPr="00A83B39" w:rsidRDefault="00806FB8" w:rsidP="00806FB8">
      <w:pPr>
        <w:autoSpaceDE w:val="0"/>
        <w:autoSpaceDN w:val="0"/>
        <w:adjustRightInd w:val="0"/>
        <w:jc w:val="left"/>
        <w:rPr>
          <w:rFonts w:ascii="ArialMT" w:hAnsi="ArialMT" w:cs="ArialMT"/>
          <w:b/>
          <w:color w:val="FF0000"/>
          <w:szCs w:val="22"/>
        </w:rPr>
      </w:pPr>
    </w:p>
    <w:p w:rsidR="00806FB8" w:rsidRPr="00A83B39" w:rsidRDefault="00806FB8" w:rsidP="00806FB8">
      <w:pPr>
        <w:autoSpaceDE w:val="0"/>
        <w:autoSpaceDN w:val="0"/>
        <w:adjustRightInd w:val="0"/>
        <w:rPr>
          <w:i/>
          <w:iCs/>
          <w:sz w:val="24"/>
          <w:szCs w:val="24"/>
        </w:rPr>
      </w:pPr>
    </w:p>
    <w:p w:rsidR="00806FB8" w:rsidRPr="00806FB8" w:rsidRDefault="00806FB8" w:rsidP="00806FB8">
      <w:pPr>
        <w:autoSpaceDE w:val="0"/>
        <w:autoSpaceDN w:val="0"/>
        <w:adjustRightInd w:val="0"/>
        <w:rPr>
          <w:i/>
          <w:iCs/>
          <w:sz w:val="24"/>
          <w:szCs w:val="24"/>
        </w:rPr>
      </w:pPr>
      <m:oMathPara>
        <m:oMath>
          <m:nary>
            <m:naryPr>
              <m:chr m:val="∑"/>
              <m:limLoc m:val="undOvr"/>
              <m:ctrlPr>
                <w:rPr>
                  <w:rFonts w:ascii="Cambria Math" w:hAnsi="Cambria Math"/>
                  <w:i/>
                  <w:color w:val="000000"/>
                  <w:sz w:val="24"/>
                  <w:szCs w:val="24"/>
                </w:rPr>
              </m:ctrlPr>
            </m:naryPr>
            <m:sub>
              <m:r>
                <w:rPr>
                  <w:rFonts w:ascii="Cambria Math" w:hAnsi="Cambria Math"/>
                  <w:color w:val="000000"/>
                  <w:sz w:val="24"/>
                  <w:szCs w:val="24"/>
                </w:rPr>
                <m:t>i</m:t>
              </m:r>
              <m:r>
                <w:rPr>
                  <w:rFonts w:ascii="Cambria Math"/>
                  <w:color w:val="000000"/>
                  <w:sz w:val="24"/>
                  <w:szCs w:val="24"/>
                </w:rPr>
                <m:t>=0</m:t>
              </m:r>
            </m:sub>
            <m:sup>
              <m:r>
                <w:rPr>
                  <w:rFonts w:ascii="Cambria Math"/>
                  <w:color w:val="000000"/>
                  <w:sz w:val="24"/>
                  <w:szCs w:val="24"/>
                </w:rPr>
                <m:t>2</m:t>
              </m:r>
            </m:sup>
            <m:e>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i</m:t>
                      </m:r>
                    </m:sub>
                  </m:sSub>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hAnsi="Cambria Math"/>
                          <w:color w:val="000000"/>
                          <w:sz w:val="24"/>
                          <w:szCs w:val="24"/>
                        </w:rPr>
                        <m:t>i</m:t>
                      </m:r>
                    </m:sup>
                  </m:sSup>
                </m:den>
              </m:f>
            </m:e>
          </m:nary>
          <m:r>
            <w:rPr>
              <w:rFonts w:ascii="Cambria Math"/>
              <w:sz w:val="24"/>
              <w:szCs w:val="24"/>
            </w:rPr>
            <m:t>=0</m:t>
          </m:r>
        </m:oMath>
      </m:oMathPara>
    </w:p>
    <w:p w:rsidR="00806FB8" w:rsidRPr="00A83B39" w:rsidRDefault="00806FB8" w:rsidP="00806FB8">
      <w:pPr>
        <w:autoSpaceDE w:val="0"/>
        <w:autoSpaceDN w:val="0"/>
        <w:adjustRightInd w:val="0"/>
        <w:rPr>
          <w:i/>
          <w:iCs/>
          <w:sz w:val="24"/>
          <w:szCs w:val="24"/>
        </w:rPr>
      </w:pPr>
    </w:p>
    <w:p w:rsidR="00806FB8" w:rsidRPr="00806FB8" w:rsidRDefault="00806FB8" w:rsidP="00806FB8">
      <w:pPr>
        <w:autoSpaceDE w:val="0"/>
        <w:autoSpaceDN w:val="0"/>
        <w:adjustRightInd w:val="0"/>
        <w:rPr>
          <w:i/>
          <w:iCs/>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color w:val="000000"/>
                      <w:sz w:val="24"/>
                      <w:szCs w:val="24"/>
                    </w:rPr>
                    <m:t>0</m:t>
                  </m:r>
                </m:sup>
              </m:sSup>
            </m:den>
          </m:f>
          <m:r>
            <w:rPr>
              <w:rFonts w:ascii="Cambria Math"/>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1</m:t>
                  </m:r>
                </m:sub>
              </m:sSub>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color w:val="000000"/>
                      <w:sz w:val="24"/>
                      <w:szCs w:val="24"/>
                    </w:rPr>
                    <m:t>1</m:t>
                  </m:r>
                </m:sup>
              </m:sSup>
            </m:den>
          </m:f>
          <m:r>
            <w:rPr>
              <w:rFonts w:ascii="Cambria Math"/>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2</m:t>
                  </m:r>
                </m:sub>
              </m:sSub>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color w:val="000000"/>
                      <w:sz w:val="24"/>
                      <w:szCs w:val="24"/>
                    </w:rPr>
                    <m:t>2</m:t>
                  </m:r>
                </m:sup>
              </m:sSup>
            </m:den>
          </m:f>
          <m:r>
            <w:rPr>
              <w:rFonts w:ascii="Cambria Math"/>
              <w:sz w:val="24"/>
              <w:szCs w:val="24"/>
            </w:rPr>
            <m:t>=0</m:t>
          </m:r>
        </m:oMath>
      </m:oMathPara>
    </w:p>
    <w:p w:rsidR="00806FB8" w:rsidRPr="00A83B39" w:rsidRDefault="00806FB8" w:rsidP="00806FB8">
      <w:pPr>
        <w:autoSpaceDE w:val="0"/>
        <w:autoSpaceDN w:val="0"/>
        <w:adjustRightInd w:val="0"/>
        <w:rPr>
          <w:i/>
          <w:iCs/>
          <w:sz w:val="24"/>
          <w:szCs w:val="24"/>
        </w:rPr>
      </w:pPr>
    </w:p>
    <w:p w:rsidR="00806FB8" w:rsidRPr="00806FB8" w:rsidRDefault="00806FB8" w:rsidP="00806FB8">
      <w:pPr>
        <w:autoSpaceDE w:val="0"/>
        <w:autoSpaceDN w:val="0"/>
        <w:adjustRightInd w:val="0"/>
        <w:rPr>
          <w:i/>
          <w:iCs/>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r>
            <w:rPr>
              <w:rFonts w:ascii="Cambria Math"/>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1</m:t>
                  </m:r>
                </m:sub>
              </m:sSub>
            </m:num>
            <m:den>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den>
          </m:f>
          <m:r>
            <w:rPr>
              <w:rFonts w:ascii="Cambria Math"/>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2</m:t>
                  </m:r>
                </m:sub>
              </m:sSub>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color w:val="000000"/>
                      <w:sz w:val="24"/>
                      <w:szCs w:val="24"/>
                    </w:rPr>
                    <m:t>2</m:t>
                  </m:r>
                </m:sup>
              </m:sSup>
            </m:den>
          </m:f>
          <m:r>
            <w:rPr>
              <w:rFonts w:ascii="Cambria Math"/>
              <w:sz w:val="24"/>
              <w:szCs w:val="24"/>
            </w:rPr>
            <m:t>=0</m:t>
          </m:r>
        </m:oMath>
      </m:oMathPara>
    </w:p>
    <w:p w:rsidR="00806FB8" w:rsidRPr="00806FB8" w:rsidRDefault="00806FB8" w:rsidP="00806FB8">
      <w:pPr>
        <w:autoSpaceDE w:val="0"/>
        <w:autoSpaceDN w:val="0"/>
        <w:adjustRightInd w:val="0"/>
        <w:rPr>
          <w:i/>
          <w:iCs/>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r>
            <w:rPr>
              <w:rFonts w:ascii="Cambria Math"/>
              <w:sz w:val="24"/>
              <w:szCs w:val="24"/>
            </w:rPr>
            <m:t xml:space="preserve"> </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color w:val="000000"/>
                      <w:sz w:val="24"/>
                      <w:szCs w:val="24"/>
                    </w:rPr>
                    <m:t>2</m:t>
                  </m:r>
                </m:sup>
              </m:sSup>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color w:val="000000"/>
                      <w:sz w:val="24"/>
                      <w:szCs w:val="24"/>
                    </w:rPr>
                    <m:t>2</m:t>
                  </m:r>
                </m:sup>
              </m:sSup>
            </m:den>
          </m:f>
          <m:r>
            <w:rPr>
              <w:rFonts w:ascii="Cambria Math"/>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1</m:t>
                  </m:r>
                </m:sub>
              </m:sSub>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color w:val="000000"/>
                      <w:sz w:val="24"/>
                      <w:szCs w:val="24"/>
                    </w:rPr>
                    <m:t>2</m:t>
                  </m:r>
                </m:sup>
              </m:sSup>
            </m:den>
          </m:f>
          <m:r>
            <w:rPr>
              <w:rFonts w:ascii="Cambria Math"/>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2</m:t>
                  </m:r>
                </m:sub>
              </m:sSub>
            </m:num>
            <m:den>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color w:val="000000"/>
                      <w:sz w:val="24"/>
                      <w:szCs w:val="24"/>
                    </w:rPr>
                    <m:t>2</m:t>
                  </m:r>
                </m:sup>
              </m:sSup>
            </m:den>
          </m:f>
          <m:r>
            <w:rPr>
              <w:rFonts w:ascii="Cambria Math"/>
              <w:sz w:val="24"/>
              <w:szCs w:val="24"/>
            </w:rPr>
            <m:t>=0</m:t>
          </m:r>
        </m:oMath>
      </m:oMathPara>
    </w:p>
    <w:p w:rsidR="00806FB8" w:rsidRPr="00A83B39" w:rsidRDefault="00806FB8" w:rsidP="00806FB8">
      <w:pPr>
        <w:autoSpaceDE w:val="0"/>
        <w:autoSpaceDN w:val="0"/>
        <w:adjustRightInd w:val="0"/>
        <w:rPr>
          <w:i/>
          <w:iCs/>
          <w:sz w:val="24"/>
          <w:szCs w:val="24"/>
        </w:rPr>
      </w:pPr>
    </w:p>
    <w:p w:rsidR="00806FB8" w:rsidRPr="00806FB8" w:rsidRDefault="00806FB8" w:rsidP="00806FB8">
      <w:pPr>
        <w:autoSpaceDE w:val="0"/>
        <w:autoSpaceDN w:val="0"/>
        <w:adjustRightInd w:val="0"/>
        <w:rPr>
          <w:i/>
          <w:iCs/>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r>
            <w:rPr>
              <w:rFonts w:ascii="Cambria Math"/>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e>
            <m:sup>
              <m:r>
                <w:rPr>
                  <w:rFonts w:ascii="Cambria Math"/>
                  <w:color w:val="000000"/>
                  <w:sz w:val="24"/>
                  <w:szCs w:val="24"/>
                </w:rPr>
                <m:t>2</m:t>
              </m:r>
            </m:sup>
          </m:sSup>
          <m:r>
            <w:rPr>
              <w:rFonts w:ascii="Cambria Math"/>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1</m:t>
              </m:r>
            </m:sub>
          </m:sSub>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r>
            <w:rPr>
              <w:rFonts w:ascii="Cambria Math"/>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2</m:t>
              </m:r>
            </m:sub>
          </m:sSub>
          <m:r>
            <w:rPr>
              <w:rFonts w:ascii="Cambria Math"/>
              <w:sz w:val="24"/>
              <w:szCs w:val="24"/>
            </w:rPr>
            <m:t>=0</m:t>
          </m:r>
        </m:oMath>
      </m:oMathPara>
    </w:p>
    <w:p w:rsidR="00806FB8" w:rsidRPr="00A83B39" w:rsidRDefault="00806FB8" w:rsidP="00806FB8">
      <w:pPr>
        <w:autoSpaceDE w:val="0"/>
        <w:autoSpaceDN w:val="0"/>
        <w:adjustRightInd w:val="0"/>
        <w:rPr>
          <w:i/>
          <w:iCs/>
          <w:sz w:val="24"/>
          <w:szCs w:val="24"/>
        </w:rPr>
      </w:pPr>
    </w:p>
    <w:p w:rsidR="00806FB8" w:rsidRPr="00806FB8" w:rsidRDefault="00806FB8" w:rsidP="00806FB8">
      <w:pPr>
        <w:autoSpaceDE w:val="0"/>
        <w:autoSpaceDN w:val="0"/>
        <w:adjustRightInd w:val="0"/>
        <w:rPr>
          <w:i/>
          <w:iCs/>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r>
            <w:rPr>
              <w:rFonts w:ascii="Cambria Math"/>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sSup>
            <m:sSupPr>
              <m:ctrlPr>
                <w:rPr>
                  <w:rFonts w:ascii="Cambria Math" w:hAnsi="Cambria Math"/>
                  <w:i/>
                  <w:color w:val="000000"/>
                  <w:sz w:val="24"/>
                  <w:szCs w:val="24"/>
                </w:rPr>
              </m:ctrlPr>
            </m:sSupPr>
            <m:e>
              <m:r>
                <w:rPr>
                  <w:rFonts w:ascii="Cambria Math"/>
                  <w:color w:val="000000"/>
                  <w:sz w:val="24"/>
                  <w:szCs w:val="24"/>
                </w:rPr>
                <m:t>(1+</m:t>
              </m:r>
              <m:r>
                <w:rPr>
                  <w:rFonts w:ascii="Cambria Math" w:hAnsi="Cambria Math"/>
                  <w:color w:val="000000"/>
                  <w:sz w:val="24"/>
                  <w:szCs w:val="24"/>
                </w:rPr>
                <m:t>t</m:t>
              </m:r>
            </m:e>
            <m:sup>
              <m:r>
                <w:rPr>
                  <w:rFonts w:ascii="Cambria Math"/>
                  <w:color w:val="000000"/>
                  <w:sz w:val="24"/>
                  <w:szCs w:val="24"/>
                </w:rPr>
                <m:t>2</m:t>
              </m:r>
            </m:sup>
          </m:sSup>
          <m:r>
            <w:rPr>
              <w:rFonts w:ascii="Cambria Math"/>
              <w:sz w:val="24"/>
              <w:szCs w:val="24"/>
            </w:rPr>
            <m:t>+2</m:t>
          </m:r>
          <m:r>
            <w:rPr>
              <w:rFonts w:ascii="Cambria Math" w:hAnsi="Cambria Math"/>
              <w:sz w:val="24"/>
              <w:szCs w:val="24"/>
            </w:rPr>
            <m:t>t</m:t>
          </m:r>
          <m:r>
            <w:rPr>
              <w:rFonts w:ascii="Cambria Math"/>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1</m:t>
              </m:r>
            </m:sub>
          </m:sSub>
          <m:r>
            <w:rPr>
              <w:rFonts w:ascii="Cambria Math"/>
              <w:color w:val="000000"/>
              <w:sz w:val="24"/>
              <w:szCs w:val="24"/>
            </w:rPr>
            <m:t>(1+</m:t>
          </m:r>
          <m:r>
            <w:rPr>
              <w:rFonts w:ascii="Cambria Math" w:hAnsi="Cambria Math"/>
              <w:color w:val="000000"/>
              <w:sz w:val="24"/>
              <w:szCs w:val="24"/>
            </w:rPr>
            <m:t>t</m:t>
          </m:r>
          <m:r>
            <w:rPr>
              <w:rFonts w:ascii="Cambria Math"/>
              <w:color w:val="000000"/>
              <w:sz w:val="24"/>
              <w:szCs w:val="24"/>
            </w:rPr>
            <m:t>)</m:t>
          </m:r>
          <m:r>
            <w:rPr>
              <w:rFonts w:ascii="Cambria Math"/>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2</m:t>
              </m:r>
            </m:sub>
          </m:sSub>
          <m:r>
            <w:rPr>
              <w:rFonts w:ascii="Cambria Math"/>
              <w:sz w:val="24"/>
              <w:szCs w:val="24"/>
            </w:rPr>
            <m:t>=0</m:t>
          </m:r>
        </m:oMath>
      </m:oMathPara>
    </w:p>
    <w:p w:rsidR="00806FB8" w:rsidRPr="00A83B39" w:rsidRDefault="00806FB8" w:rsidP="00806FB8">
      <w:pPr>
        <w:autoSpaceDE w:val="0"/>
        <w:autoSpaceDN w:val="0"/>
        <w:adjustRightInd w:val="0"/>
        <w:rPr>
          <w:i/>
          <w:iCs/>
          <w:sz w:val="24"/>
          <w:szCs w:val="24"/>
        </w:rPr>
      </w:pPr>
    </w:p>
    <w:p w:rsidR="00806FB8" w:rsidRPr="00806FB8" w:rsidRDefault="00806FB8" w:rsidP="00806FB8">
      <w:pPr>
        <w:autoSpaceDE w:val="0"/>
        <w:autoSpaceDN w:val="0"/>
        <w:adjustRightInd w:val="0"/>
        <w:rPr>
          <w:rFonts w:ascii="Cambria Math"/>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r>
            <w:rPr>
              <w:rFonts w:ascii="Cambria Math"/>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sSup>
            <m:sSupPr>
              <m:ctrlPr>
                <w:rPr>
                  <w:rFonts w:ascii="Cambria Math" w:hAnsi="Cambria Math"/>
                  <w:i/>
                  <w:color w:val="000000"/>
                  <w:sz w:val="24"/>
                  <w:szCs w:val="24"/>
                </w:rPr>
              </m:ctrlPr>
            </m:sSupPr>
            <m:e>
              <m:r>
                <w:rPr>
                  <w:rFonts w:ascii="Cambria Math" w:hAnsi="Cambria Math"/>
                  <w:color w:val="000000"/>
                  <w:sz w:val="24"/>
                  <w:szCs w:val="24"/>
                </w:rPr>
                <m:t>t</m:t>
              </m:r>
            </m:e>
            <m:sup>
              <m:r>
                <w:rPr>
                  <w:rFonts w:ascii="Cambria Math"/>
                  <w:color w:val="000000"/>
                  <w:sz w:val="24"/>
                  <w:szCs w:val="24"/>
                </w:rPr>
                <m:t>2</m:t>
              </m:r>
            </m:sup>
          </m:sSup>
          <m:r>
            <w:rPr>
              <w:rFonts w:ascii="Cambria Math"/>
              <w:sz w:val="24"/>
              <w:szCs w:val="24"/>
            </w:rPr>
            <m:t>+(2</m:t>
          </m:r>
          <m:sSub>
            <m:sSubPr>
              <m:ctrlPr>
                <w:rPr>
                  <w:rFonts w:ascii="Cambria Math" w:hAnsi="Cambria Math"/>
                  <w:i/>
                  <w:color w:val="000000"/>
                  <w:sz w:val="24"/>
                  <w:szCs w:val="24"/>
                </w:rPr>
              </m:ctrlPr>
            </m:sSubPr>
            <m:e>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r>
                <w:rPr>
                  <w:rFonts w:ascii="Cambria Math"/>
                  <w:color w:val="000000"/>
                  <w:sz w:val="24"/>
                  <w:szCs w:val="24"/>
                </w:rPr>
                <m:t>+</m:t>
              </m:r>
              <m:r>
                <w:rPr>
                  <w:rFonts w:ascii="Cambria Math" w:hAnsi="Cambria Math"/>
                  <w:color w:val="000000"/>
                  <w:sz w:val="24"/>
                  <w:szCs w:val="24"/>
                </w:rPr>
                <m:t>F</m:t>
              </m:r>
            </m:e>
            <m:sub>
              <m:r>
                <w:rPr>
                  <w:rFonts w:ascii="Cambria Math"/>
                  <w:color w:val="000000"/>
                  <w:sz w:val="24"/>
                  <w:szCs w:val="24"/>
                </w:rPr>
                <m:t>1</m:t>
              </m:r>
            </m:sub>
          </m:sSub>
          <m:r>
            <w:rPr>
              <w:rFonts w:ascii="Cambria Math"/>
              <w:color w:val="000000"/>
              <w:sz w:val="24"/>
              <w:szCs w:val="24"/>
            </w:rPr>
            <m:t>)</m:t>
          </m:r>
          <m:r>
            <w:rPr>
              <w:rFonts w:ascii="Cambria Math" w:hAnsi="Cambria Math"/>
              <w:color w:val="000000"/>
              <w:sz w:val="24"/>
              <w:szCs w:val="24"/>
            </w:rPr>
            <m:t>t</m:t>
          </m:r>
          <m:r>
            <w:rPr>
              <w:rFonts w:ascii="Cambria Math"/>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0</m:t>
              </m:r>
            </m:sub>
          </m:sSub>
          <m:r>
            <w:rPr>
              <w:rFonts w:asci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1</m:t>
              </m:r>
            </m:sub>
          </m:sSub>
          <m:r>
            <w:rPr>
              <w:rFonts w:asci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F</m:t>
              </m:r>
            </m:e>
            <m:sub>
              <m:r>
                <w:rPr>
                  <w:rFonts w:ascii="Cambria Math"/>
                  <w:color w:val="000000"/>
                  <w:sz w:val="24"/>
                  <w:szCs w:val="24"/>
                </w:rPr>
                <m:t>2</m:t>
              </m:r>
            </m:sub>
          </m:sSub>
          <m:r>
            <w:rPr>
              <w:rFonts w:ascii="Cambria Math"/>
              <w:sz w:val="24"/>
              <w:szCs w:val="24"/>
            </w:rPr>
            <m:t>=0</m:t>
          </m:r>
        </m:oMath>
      </m:oMathPara>
    </w:p>
    <w:p w:rsidR="00806FB8" w:rsidRPr="00BA0911" w:rsidRDefault="00806FB8" w:rsidP="00806FB8">
      <w:pPr>
        <w:autoSpaceDE w:val="0"/>
        <w:autoSpaceDN w:val="0"/>
        <w:adjustRightInd w:val="0"/>
        <w:rPr>
          <w:rFonts w:ascii="Cambria Math"/>
          <w:sz w:val="24"/>
          <w:szCs w:val="24"/>
        </w:rPr>
      </w:pPr>
    </w:p>
    <w:p w:rsidR="00806FB8" w:rsidRPr="00806FB8" w:rsidRDefault="00806FB8" w:rsidP="00806FB8">
      <w:pPr>
        <w:autoSpaceDE w:val="0"/>
        <w:autoSpaceDN w:val="0"/>
        <w:adjustRightInd w:val="0"/>
        <w:rPr>
          <w:i/>
          <w:iCs/>
          <w:sz w:val="24"/>
          <w:szCs w:val="24"/>
        </w:rPr>
      </w:pPr>
      <m:oMathPara>
        <m:oMath>
          <m:box>
            <m:boxPr>
              <m:opEmu m:val="1"/>
              <m:ctrlPr>
                <w:rPr>
                  <w:rFonts w:ascii="Cambria Math" w:hAnsi="Cambria Math"/>
                  <w:i/>
                  <w:sz w:val="24"/>
                  <w:szCs w:val="24"/>
                </w:rPr>
              </m:ctrlPr>
            </m:boxPr>
            <m:e>
              <m:box>
                <m:boxPr>
                  <m:opEmu m:val="1"/>
                  <m:ctrlPr>
                    <w:rPr>
                      <w:rFonts w:ascii="Cambria Math" w:hAnsi="Cambria Math"/>
                      <w:i/>
                      <w:sz w:val="24"/>
                      <w:szCs w:val="24"/>
                    </w:rPr>
                  </m:ctrlPr>
                </m:boxPr>
                <m:e>
                  <m:groupChr>
                    <m:groupChrPr>
                      <m:chr m:val="⇔"/>
                      <m:vertJc m:val="bot"/>
                      <m:ctrlPr>
                        <w:rPr>
                          <w:rFonts w:ascii="Cambria Math" w:hAnsi="Cambria Math"/>
                          <w:i/>
                          <w:sz w:val="24"/>
                          <w:szCs w:val="24"/>
                        </w:rPr>
                      </m:ctrlPr>
                    </m:groupChrPr>
                    <m:e/>
                  </m:groupChr>
                </m:e>
              </m:box>
            </m:e>
          </m:box>
          <m:r>
            <w:rPr>
              <w:rFonts w:ascii="Cambria Math"/>
              <w:sz w:val="24"/>
              <w:szCs w:val="24"/>
            </w:rPr>
            <m:t xml:space="preserve"> </m:t>
          </m:r>
          <m:limUpp>
            <m:limUppPr>
              <m:ctrlPr>
                <w:rPr>
                  <w:rFonts w:ascii="Cambria Math" w:hAnsi="Cambria Math"/>
                  <w:i/>
                  <w:color w:val="000000"/>
                  <w:sz w:val="24"/>
                  <w:szCs w:val="24"/>
                </w:rPr>
              </m:ctrlPr>
            </m:limUppPr>
            <m:e>
              <m:groupChr>
                <m:groupChrPr>
                  <m:chr m:val="⏞"/>
                  <m:pos m:val="top"/>
                  <m:vertJc m:val="bot"/>
                  <m:ctrlPr>
                    <w:rPr>
                      <w:rFonts w:ascii="Cambria Math" w:hAnsi="Cambria Math"/>
                      <w:i/>
                      <w:color w:val="000000"/>
                      <w:sz w:val="24"/>
                      <w:szCs w:val="24"/>
                    </w:rPr>
                  </m:ctrlPr>
                </m:groupChrPr>
                <m:e>
                  <m:r>
                    <w:rPr>
                      <w:rFonts w:ascii="Cambria Math"/>
                      <w:color w:val="000000"/>
                      <w:sz w:val="24"/>
                      <w:szCs w:val="24"/>
                    </w:rPr>
                    <m:t>10</m:t>
                  </m:r>
                </m:e>
              </m:groupChr>
            </m:e>
            <m:lim>
              <m:r>
                <w:rPr>
                  <w:rFonts w:ascii="Cambria Math" w:hAnsi="Cambria Math"/>
                  <w:color w:val="000000"/>
                  <w:sz w:val="24"/>
                  <w:szCs w:val="24"/>
                </w:rPr>
                <m:t>a</m:t>
              </m:r>
            </m:lim>
          </m:limUpp>
          <m:sSup>
            <m:sSupPr>
              <m:ctrlPr>
                <w:rPr>
                  <w:rFonts w:ascii="Cambria Math" w:hAnsi="Cambria Math"/>
                  <w:i/>
                  <w:color w:val="000000"/>
                  <w:sz w:val="24"/>
                  <w:szCs w:val="24"/>
                </w:rPr>
              </m:ctrlPr>
            </m:sSupPr>
            <m:e>
              <m:r>
                <w:rPr>
                  <w:rFonts w:ascii="Cambria Math" w:hAnsi="Cambria Math"/>
                  <w:color w:val="000000"/>
                  <w:sz w:val="24"/>
                  <w:szCs w:val="24"/>
                </w:rPr>
                <m:t>t</m:t>
              </m:r>
            </m:e>
            <m:sup>
              <m:r>
                <w:rPr>
                  <w:rFonts w:ascii="Cambria Math"/>
                  <w:color w:val="000000"/>
                  <w:sz w:val="24"/>
                  <w:szCs w:val="24"/>
                </w:rPr>
                <m:t>2</m:t>
              </m:r>
            </m:sup>
          </m:sSup>
          <m:r>
            <w:rPr>
              <w:rFonts w:ascii="Cambria Math"/>
              <w:sz w:val="24"/>
              <w:szCs w:val="24"/>
            </w:rPr>
            <m:t>+</m:t>
          </m:r>
          <m:limUpp>
            <m:limUppPr>
              <m:ctrlPr>
                <w:rPr>
                  <w:rFonts w:ascii="Cambria Math" w:hAnsi="Cambria Math"/>
                  <w:i/>
                  <w:iCs/>
                  <w:sz w:val="24"/>
                  <w:szCs w:val="24"/>
                </w:rPr>
              </m:ctrlPr>
            </m:limUppPr>
            <m:e>
              <m:groupChr>
                <m:groupChrPr>
                  <m:chr m:val="⏞"/>
                  <m:pos m:val="top"/>
                  <m:vertJc m:val="bot"/>
                  <m:ctrlPr>
                    <w:rPr>
                      <w:rFonts w:ascii="Cambria Math" w:hAnsi="Cambria Math"/>
                      <w:i/>
                      <w:iCs/>
                      <w:sz w:val="24"/>
                      <w:szCs w:val="24"/>
                    </w:rPr>
                  </m:ctrlPr>
                </m:groupChrPr>
                <m:e>
                  <m:r>
                    <w:rPr>
                      <w:rFonts w:ascii="Cambria Math"/>
                      <w:sz w:val="24"/>
                      <w:szCs w:val="24"/>
                    </w:rPr>
                    <m:t>15</m:t>
                  </m:r>
                </m:e>
              </m:groupChr>
            </m:e>
            <m:lim>
              <m:r>
                <w:rPr>
                  <w:rFonts w:ascii="Cambria Math" w:hAnsi="Cambria Math"/>
                  <w:sz w:val="24"/>
                  <w:szCs w:val="24"/>
                </w:rPr>
                <m:t>b</m:t>
              </m:r>
            </m:lim>
          </m:limUpp>
          <m:r>
            <w:rPr>
              <w:rFonts w:ascii="Cambria Math" w:hAnsi="Cambria Math"/>
              <w:color w:val="000000"/>
              <w:sz w:val="24"/>
              <w:szCs w:val="24"/>
            </w:rPr>
            <m:t>t</m:t>
          </m:r>
          <m:r>
            <w:rPr>
              <w:rFonts w:ascii="Cambria Math" w:hAnsi="Cambria Math"/>
              <w:sz w:val="24"/>
              <w:szCs w:val="24"/>
            </w:rPr>
            <m:t>-</m:t>
          </m:r>
          <m:limUpp>
            <m:limUppPr>
              <m:ctrlPr>
                <w:rPr>
                  <w:rFonts w:ascii="Cambria Math" w:hAnsi="Cambria Math"/>
                  <w:i/>
                  <w:color w:val="000000"/>
                  <w:sz w:val="24"/>
                  <w:szCs w:val="24"/>
                </w:rPr>
              </m:ctrlPr>
            </m:limUppPr>
            <m:e>
              <m:groupChr>
                <m:groupChrPr>
                  <m:chr m:val="⏞"/>
                  <m:pos m:val="top"/>
                  <m:vertJc m:val="bot"/>
                  <m:ctrlPr>
                    <w:rPr>
                      <w:rFonts w:ascii="Cambria Math" w:hAnsi="Cambria Math"/>
                      <w:i/>
                      <w:color w:val="000000"/>
                      <w:sz w:val="24"/>
                      <w:szCs w:val="24"/>
                    </w:rPr>
                  </m:ctrlPr>
                </m:groupChrPr>
                <m:e>
                  <m:r>
                    <w:rPr>
                      <w:rFonts w:ascii="Cambria Math"/>
                      <w:color w:val="000000"/>
                      <w:sz w:val="24"/>
                      <w:szCs w:val="24"/>
                    </w:rPr>
                    <m:t>1</m:t>
                  </m:r>
                </m:e>
              </m:groupChr>
            </m:e>
            <m:lim>
              <m:r>
                <w:rPr>
                  <w:rFonts w:ascii="Cambria Math" w:hAnsi="Cambria Math"/>
                  <w:color w:val="000000"/>
                  <w:sz w:val="24"/>
                  <w:szCs w:val="24"/>
                </w:rPr>
                <m:t>c</m:t>
              </m:r>
            </m:lim>
          </m:limUpp>
          <m:r>
            <w:rPr>
              <w:rFonts w:ascii="Cambria Math"/>
              <w:sz w:val="24"/>
              <w:szCs w:val="24"/>
            </w:rPr>
            <m:t>=0</m:t>
          </m:r>
        </m:oMath>
      </m:oMathPara>
    </w:p>
    <w:p w:rsidR="00806FB8" w:rsidRPr="00A83B39" w:rsidRDefault="00806FB8" w:rsidP="00806FB8">
      <w:pPr>
        <w:autoSpaceDE w:val="0"/>
        <w:autoSpaceDN w:val="0"/>
        <w:adjustRightInd w:val="0"/>
        <w:rPr>
          <w:i/>
          <w:iCs/>
          <w:sz w:val="24"/>
          <w:szCs w:val="24"/>
        </w:rPr>
      </w:pPr>
    </w:p>
    <w:p w:rsidR="00806FB8" w:rsidRPr="00806FB8" w:rsidRDefault="00806FB8" w:rsidP="00806FB8">
      <w:pPr>
        <w:autoSpaceDE w:val="0"/>
        <w:autoSpaceDN w:val="0"/>
        <w:adjustRightInd w:val="0"/>
        <w:rPr>
          <w:rFonts w:ascii="Cambria Math"/>
          <w:sz w:val="24"/>
          <w:szCs w:val="24"/>
        </w:rPr>
      </w:pPr>
      <m:oMathPara>
        <m:oMath>
          <m:groupChr>
            <m:groupChrPr>
              <m:chr m:val="⇔"/>
              <m:vertJc m:val="bot"/>
              <m:ctrlPr>
                <w:rPr>
                  <w:rFonts w:ascii="Cambria Math" w:hAnsi="Cambria Math"/>
                  <w:i/>
                  <w:sz w:val="24"/>
                  <w:szCs w:val="24"/>
                </w:rPr>
              </m:ctrlPr>
            </m:groupChrPr>
            <m:e/>
          </m:groupChr>
          <m:r>
            <w:rPr>
              <w:rFonts w:ascii="Cambria Math" w:hAnsi="Cambria Math"/>
              <w:sz w:val="24"/>
              <w:szCs w:val="24"/>
            </w:rPr>
            <m:t>t</m:t>
          </m:r>
          <m:r>
            <m:rPr>
              <m:sty m:val="p"/>
            </m:rPr>
            <w:rPr>
              <w:rFonts w:ascii="Cambria Math"/>
              <w:sz w:val="24"/>
              <w:szCs w:val="24"/>
            </w:rPr>
            <m:t>=</m:t>
          </m:r>
          <m:f>
            <m:fPr>
              <m:ctrlPr>
                <w:rPr>
                  <w:rFonts w:ascii="Cambria Math" w:hAnsi="Cambria Math"/>
                  <w:iCs/>
                  <w:sz w:val="24"/>
                  <w:szCs w:val="24"/>
                </w:rPr>
              </m:ctrlPr>
            </m:fPr>
            <m:num>
              <m:r>
                <m:rPr>
                  <m:sty m:val="p"/>
                </m:rPr>
                <w:rPr>
                  <w:rFonts w:ascii="Cambria Math" w:hAnsi="Cambria Math"/>
                  <w:sz w:val="24"/>
                  <w:szCs w:val="24"/>
                </w:rPr>
                <m:t>-</m:t>
              </m:r>
              <m:r>
                <w:rPr>
                  <w:rFonts w:ascii="Cambria Math" w:hAnsi="Cambria Math"/>
                  <w:sz w:val="24"/>
                  <w:szCs w:val="24"/>
                </w:rPr>
                <m:t>b</m:t>
              </m:r>
              <m:r>
                <m:rPr>
                  <m:sty m:val="p"/>
                </m:rPr>
                <w:rPr>
                  <w:rFonts w:ascii="Cambria Math"/>
                  <w:sz w:val="24"/>
                  <w:szCs w:val="24"/>
                </w:rPr>
                <m:t>±</m:t>
              </m:r>
              <m:rad>
                <m:radPr>
                  <m:degHide m:val="1"/>
                  <m:ctrlPr>
                    <w:rPr>
                      <w:rFonts w:ascii="Cambria Math" w:hAnsi="Cambria Math"/>
                      <w:iCs/>
                      <w:sz w:val="24"/>
                      <w:szCs w:val="24"/>
                    </w:rPr>
                  </m:ctrlPr>
                </m:radPr>
                <m:deg/>
                <m:e>
                  <m:sSup>
                    <m:sSupPr>
                      <m:ctrlPr>
                        <w:rPr>
                          <w:rFonts w:ascii="Cambria Math" w:hAnsi="Cambria Math"/>
                          <w:iCs/>
                          <w:sz w:val="24"/>
                          <w:szCs w:val="24"/>
                        </w:rPr>
                      </m:ctrlPr>
                    </m:sSupPr>
                    <m:e>
                      <m:r>
                        <w:rPr>
                          <w:rFonts w:ascii="Cambria Math" w:hAnsi="Cambria Math"/>
                          <w:sz w:val="24"/>
                          <w:szCs w:val="24"/>
                        </w:rPr>
                        <m:t>b</m:t>
                      </m:r>
                    </m:e>
                    <m:sup>
                      <m:r>
                        <m:rPr>
                          <m:sty m:val="p"/>
                        </m:rPr>
                        <w:rPr>
                          <w:rFonts w:ascii="Cambria Math"/>
                          <w:sz w:val="24"/>
                          <w:szCs w:val="24"/>
                        </w:rPr>
                        <m:t>2</m:t>
                      </m:r>
                    </m:sup>
                  </m:sSup>
                  <m:r>
                    <m:rPr>
                      <m:sty m:val="p"/>
                    </m:rPr>
                    <w:rPr>
                      <w:rFonts w:ascii="Cambria Math" w:hAnsi="Cambria Math"/>
                      <w:sz w:val="24"/>
                      <w:szCs w:val="24"/>
                    </w:rPr>
                    <m:t>-</m:t>
                  </m:r>
                  <m:r>
                    <m:rPr>
                      <m:sty m:val="p"/>
                    </m:rPr>
                    <w:rPr>
                      <w:rFonts w:ascii="Cambria Math"/>
                      <w:sz w:val="24"/>
                      <w:szCs w:val="24"/>
                    </w:rPr>
                    <m:t>4</m:t>
                  </m:r>
                  <m:r>
                    <w:rPr>
                      <w:rFonts w:ascii="Cambria Math" w:hAnsi="Cambria Math"/>
                      <w:sz w:val="24"/>
                      <w:szCs w:val="24"/>
                    </w:rPr>
                    <m:t>ac</m:t>
                  </m:r>
                </m:e>
              </m:rad>
            </m:num>
            <m:den>
              <m:r>
                <m:rPr>
                  <m:sty m:val="p"/>
                </m:rPr>
                <w:rPr>
                  <w:rFonts w:ascii="Cambria Math"/>
                  <w:sz w:val="24"/>
                  <w:szCs w:val="24"/>
                </w:rPr>
                <m:t>2</m:t>
              </m:r>
              <m:r>
                <w:rPr>
                  <w:rFonts w:ascii="Cambria Math" w:hAnsi="Cambria Math"/>
                  <w:sz w:val="24"/>
                  <w:szCs w:val="24"/>
                </w:rPr>
                <m:t>a</m:t>
              </m:r>
            </m:den>
          </m:f>
        </m:oMath>
      </m:oMathPara>
    </w:p>
    <w:p w:rsidR="00806FB8" w:rsidRPr="00BA0911" w:rsidRDefault="00806FB8" w:rsidP="00806FB8">
      <w:pPr>
        <w:autoSpaceDE w:val="0"/>
        <w:autoSpaceDN w:val="0"/>
        <w:adjustRightInd w:val="0"/>
        <w:rPr>
          <w:rFonts w:ascii="Cambria Math"/>
          <w:sz w:val="24"/>
          <w:szCs w:val="24"/>
        </w:rPr>
      </w:pPr>
    </w:p>
    <w:p w:rsidR="00806FB8" w:rsidRPr="00806FB8" w:rsidRDefault="00806FB8" w:rsidP="00806FB8">
      <w:pPr>
        <w:autoSpaceDE w:val="0"/>
        <w:autoSpaceDN w:val="0"/>
        <w:adjustRightInd w:val="0"/>
        <w:rPr>
          <w:i/>
          <w:iCs/>
          <w:sz w:val="24"/>
          <w:szCs w:val="24"/>
        </w:rPr>
      </w:pPr>
      <m:oMathPara>
        <m:oMath>
          <m:groupChr>
            <m:groupChrPr>
              <m:chr m:val="⇔"/>
              <m:vertJc m:val="bot"/>
              <m:ctrlPr>
                <w:rPr>
                  <w:rFonts w:ascii="Cambria Math" w:hAnsi="Cambria Math"/>
                  <w:i/>
                  <w:sz w:val="24"/>
                  <w:szCs w:val="24"/>
                </w:rPr>
              </m:ctrlPr>
            </m:groupChrPr>
            <m:e/>
          </m:groupChr>
          <m:r>
            <w:rPr>
              <w:rFonts w:ascii="Cambria Math" w:hAnsi="Cambria Math"/>
              <w:sz w:val="24"/>
              <w:szCs w:val="24"/>
            </w:rPr>
            <m:t>t</m:t>
          </m:r>
          <m:r>
            <m:rPr>
              <m:sty m:val="p"/>
            </m:rPr>
            <w:rPr>
              <w:rFonts w:ascii="Cambria Math"/>
              <w:sz w:val="24"/>
              <w:szCs w:val="24"/>
            </w:rPr>
            <m:t>=</m:t>
          </m:r>
          <m:f>
            <m:fPr>
              <m:ctrlPr>
                <w:rPr>
                  <w:rFonts w:ascii="Cambria Math" w:hAnsi="Cambria Math"/>
                  <w:iCs/>
                  <w:sz w:val="24"/>
                  <w:szCs w:val="24"/>
                </w:rPr>
              </m:ctrlPr>
            </m:fPr>
            <m:num>
              <m:r>
                <m:rPr>
                  <m:sty m:val="p"/>
                </m:rPr>
                <w:rPr>
                  <w:rFonts w:ascii="Cambria Math"/>
                  <w:sz w:val="24"/>
                  <w:szCs w:val="24"/>
                </w:rPr>
                <m:t>-</m:t>
              </m:r>
              <m:r>
                <w:rPr>
                  <w:rFonts w:ascii="Cambria Math"/>
                  <w:sz w:val="24"/>
                  <w:szCs w:val="24"/>
                </w:rPr>
                <m:t>15</m:t>
              </m:r>
              <m:r>
                <m:rPr>
                  <m:sty m:val="p"/>
                </m:rPr>
                <w:rPr>
                  <w:rFonts w:ascii="Cambria Math"/>
                  <w:sz w:val="24"/>
                  <w:szCs w:val="24"/>
                </w:rPr>
                <m:t>±</m:t>
              </m:r>
              <m:rad>
                <m:radPr>
                  <m:degHide m:val="1"/>
                  <m:ctrlPr>
                    <w:rPr>
                      <w:rFonts w:ascii="Cambria Math" w:hAnsi="Cambria Math"/>
                      <w:iCs/>
                      <w:sz w:val="24"/>
                      <w:szCs w:val="24"/>
                    </w:rPr>
                  </m:ctrlPr>
                </m:radPr>
                <m:deg/>
                <m:e>
                  <m:sSup>
                    <m:sSupPr>
                      <m:ctrlPr>
                        <w:rPr>
                          <w:rFonts w:ascii="Cambria Math" w:hAnsi="Cambria Math"/>
                          <w:iCs/>
                          <w:sz w:val="24"/>
                          <w:szCs w:val="24"/>
                        </w:rPr>
                      </m:ctrlPr>
                    </m:sSupPr>
                    <m:e>
                      <m:r>
                        <w:rPr>
                          <w:rFonts w:ascii="Cambria Math"/>
                          <w:sz w:val="24"/>
                          <w:szCs w:val="24"/>
                        </w:rPr>
                        <m:t>15</m:t>
                      </m:r>
                    </m:e>
                    <m:sup>
                      <m:r>
                        <m:rPr>
                          <m:sty m:val="p"/>
                        </m:rPr>
                        <w:rPr>
                          <w:rFonts w:ascii="Cambria Math"/>
                          <w:sz w:val="24"/>
                          <w:szCs w:val="24"/>
                        </w:rPr>
                        <m:t>2</m:t>
                      </m:r>
                    </m:sup>
                  </m:sSup>
                  <m:r>
                    <m:rPr>
                      <m:sty m:val="p"/>
                    </m:rPr>
                    <w:rPr>
                      <w:rFonts w:ascii="Cambria Math"/>
                      <w:sz w:val="24"/>
                      <w:szCs w:val="24"/>
                    </w:rPr>
                    <m:t>+4</m:t>
                  </m:r>
                  <m:r>
                    <w:rPr>
                      <w:rFonts w:ascii="Cambria Math" w:hAnsi="Cambria Math"/>
                      <w:sz w:val="24"/>
                      <w:szCs w:val="24"/>
                    </w:rPr>
                    <m:t>*</m:t>
                  </m:r>
                  <m:r>
                    <w:rPr>
                      <w:rFonts w:ascii="Cambria Math"/>
                      <w:sz w:val="24"/>
                      <w:szCs w:val="24"/>
                    </w:rPr>
                    <m:t>10</m:t>
                  </m:r>
                  <m:r>
                    <w:rPr>
                      <w:rFonts w:ascii="Cambria Math" w:hAnsi="Cambria Math"/>
                      <w:sz w:val="24"/>
                      <w:szCs w:val="24"/>
                    </w:rPr>
                    <m:t>*</m:t>
                  </m:r>
                  <m:r>
                    <w:rPr>
                      <w:rFonts w:ascii="Cambria Math"/>
                      <w:sz w:val="24"/>
                      <w:szCs w:val="24"/>
                    </w:rPr>
                    <m:t>1</m:t>
                  </m:r>
                </m:e>
              </m:rad>
            </m:num>
            <m:den>
              <m:r>
                <m:rPr>
                  <m:sty m:val="p"/>
                </m:rPr>
                <w:rPr>
                  <w:rFonts w:ascii="Cambria Math"/>
                  <w:sz w:val="24"/>
                  <w:szCs w:val="24"/>
                </w:rPr>
                <m:t>2</m:t>
              </m:r>
              <m:r>
                <w:rPr>
                  <w:rFonts w:ascii="Cambria Math" w:hAnsi="Cambria Math"/>
                  <w:sz w:val="24"/>
                  <w:szCs w:val="24"/>
                </w:rPr>
                <m:t>*</m:t>
              </m:r>
              <m:r>
                <w:rPr>
                  <w:rFonts w:ascii="Cambria Math"/>
                  <w:sz w:val="24"/>
                  <w:szCs w:val="24"/>
                </w:rPr>
                <m:t>10</m:t>
              </m:r>
            </m:den>
          </m:f>
        </m:oMath>
      </m:oMathPara>
    </w:p>
    <w:p w:rsidR="00806FB8" w:rsidRPr="00806FB8" w:rsidRDefault="00806FB8" w:rsidP="00806FB8">
      <w:pPr>
        <w:autoSpaceDE w:val="0"/>
        <w:autoSpaceDN w:val="0"/>
        <w:adjustRightInd w:val="0"/>
        <w:rPr>
          <w:i/>
          <w:iCs/>
          <w:sz w:val="24"/>
          <w:szCs w:val="24"/>
        </w:rPr>
      </w:pPr>
      <m:oMathPara>
        <m:oMath>
          <m:groupChr>
            <m:groupChrPr>
              <m:chr m:val="⇔"/>
              <m:vertJc m:val="bot"/>
              <m:ctrlPr>
                <w:rPr>
                  <w:rFonts w:ascii="Cambria Math" w:hAnsi="Cambria Math"/>
                  <w:i/>
                  <w:sz w:val="24"/>
                  <w:szCs w:val="24"/>
                </w:rPr>
              </m:ctrlPr>
            </m:groupChrPr>
            <m:e/>
          </m:groupChr>
          <m:r>
            <w:rPr>
              <w:rFonts w:ascii="Cambria Math" w:hAnsi="Cambria Math"/>
              <w:sz w:val="24"/>
              <w:szCs w:val="24"/>
            </w:rPr>
            <m:t>t</m:t>
          </m:r>
          <m:r>
            <m:rPr>
              <m:sty m:val="p"/>
            </m:rPr>
            <w:rPr>
              <w:rFonts w:ascii="Cambria Math"/>
              <w:sz w:val="24"/>
              <w:szCs w:val="24"/>
            </w:rPr>
            <m:t>=</m:t>
          </m:r>
          <m:f>
            <m:fPr>
              <m:ctrlPr>
                <w:rPr>
                  <w:rFonts w:ascii="Cambria Math" w:hAnsi="Cambria Math"/>
                  <w:iCs/>
                  <w:sz w:val="24"/>
                  <w:szCs w:val="24"/>
                </w:rPr>
              </m:ctrlPr>
            </m:fPr>
            <m:num>
              <m:r>
                <m:rPr>
                  <m:sty m:val="p"/>
                </m:rPr>
                <w:rPr>
                  <w:rFonts w:ascii="Cambria Math" w:hAnsi="Cambria Math"/>
                  <w:sz w:val="24"/>
                  <w:szCs w:val="24"/>
                </w:rPr>
                <m:t>-</m:t>
              </m:r>
              <m:r>
                <w:rPr>
                  <w:rFonts w:ascii="Cambria Math"/>
                  <w:sz w:val="24"/>
                  <w:szCs w:val="24"/>
                </w:rPr>
                <m:t>15</m:t>
              </m:r>
              <m:r>
                <m:rPr>
                  <m:sty m:val="p"/>
                </m:rPr>
                <w:rPr>
                  <w:rFonts w:ascii="Cambria Math"/>
                  <w:sz w:val="24"/>
                  <w:szCs w:val="24"/>
                </w:rPr>
                <m:t>±</m:t>
              </m:r>
              <m:rad>
                <m:radPr>
                  <m:degHide m:val="1"/>
                  <m:ctrlPr>
                    <w:rPr>
                      <w:rFonts w:ascii="Cambria Math" w:hAnsi="Cambria Math"/>
                      <w:iCs/>
                      <w:sz w:val="24"/>
                      <w:szCs w:val="24"/>
                    </w:rPr>
                  </m:ctrlPr>
                </m:radPr>
                <m:deg/>
                <m:e>
                  <m:r>
                    <m:rPr>
                      <m:sty m:val="p"/>
                    </m:rPr>
                    <w:rPr>
                      <w:rFonts w:ascii="Cambria Math"/>
                      <w:sz w:val="24"/>
                      <w:szCs w:val="24"/>
                    </w:rPr>
                    <m:t>265</m:t>
                  </m:r>
                </m:e>
              </m:rad>
            </m:num>
            <m:den>
              <m:r>
                <m:rPr>
                  <m:sty m:val="p"/>
                </m:rPr>
                <w:rPr>
                  <w:rFonts w:ascii="Cambria Math"/>
                  <w:sz w:val="24"/>
                  <w:szCs w:val="24"/>
                </w:rPr>
                <m:t>20</m:t>
              </m:r>
            </m:den>
          </m:f>
        </m:oMath>
      </m:oMathPara>
    </w:p>
    <w:p w:rsidR="00806FB8" w:rsidRPr="00806FB8" w:rsidRDefault="00806FB8" w:rsidP="00806FB8">
      <w:pPr>
        <w:autoSpaceDE w:val="0"/>
        <w:autoSpaceDN w:val="0"/>
        <w:adjustRightInd w:val="0"/>
        <w:rPr>
          <w:i/>
          <w:iCs/>
          <w:sz w:val="24"/>
          <w:szCs w:val="24"/>
        </w:rPr>
      </w:pPr>
      <m:oMathPara>
        <m:oMath>
          <m:groupChr>
            <m:groupChrPr>
              <m:chr m:val="⇔"/>
              <m:vertJc m:val="bot"/>
              <m:ctrlPr>
                <w:rPr>
                  <w:rFonts w:ascii="Cambria Math" w:hAnsi="Cambria Math"/>
                  <w:i/>
                  <w:sz w:val="24"/>
                  <w:szCs w:val="24"/>
                </w:rPr>
              </m:ctrlPr>
            </m:groupChrPr>
            <m:e/>
          </m:groupChr>
          <m:r>
            <w:rPr>
              <w:rFonts w:ascii="Cambria Math" w:hAnsi="Cambria Math"/>
              <w:sz w:val="24"/>
              <w:szCs w:val="24"/>
            </w:rPr>
            <m:t>t</m:t>
          </m:r>
          <m:r>
            <m:rPr>
              <m:sty m:val="p"/>
            </m:rPr>
            <w:rPr>
              <w:rFonts w:ascii="Cambria Math"/>
              <w:sz w:val="24"/>
              <w:szCs w:val="24"/>
            </w:rPr>
            <m:t>=6.4% ou t=</m:t>
          </m:r>
          <m:r>
            <m:rPr>
              <m:sty m:val="p"/>
            </m:rPr>
            <w:rPr>
              <w:rFonts w:ascii="Cambria Math"/>
              <w:sz w:val="24"/>
              <w:szCs w:val="24"/>
            </w:rPr>
            <m:t>-</m:t>
          </m:r>
          <m:r>
            <m:rPr>
              <m:sty m:val="p"/>
            </m:rPr>
            <w:rPr>
              <w:rFonts w:ascii="Cambria Math"/>
              <w:sz w:val="24"/>
              <w:szCs w:val="24"/>
            </w:rPr>
            <m:t>156%</m:t>
          </m:r>
        </m:oMath>
      </m:oMathPara>
    </w:p>
    <w:p w:rsidR="00806FB8" w:rsidRPr="00A83B39" w:rsidRDefault="00806FB8" w:rsidP="00806FB8">
      <w:pPr>
        <w:autoSpaceDE w:val="0"/>
        <w:autoSpaceDN w:val="0"/>
        <w:adjustRightInd w:val="0"/>
        <w:rPr>
          <w:i/>
          <w:iCs/>
          <w:sz w:val="24"/>
          <w:szCs w:val="24"/>
        </w:rPr>
      </w:pPr>
    </w:p>
    <w:p w:rsidR="00806FB8" w:rsidRPr="00A83B39" w:rsidRDefault="00806FB8" w:rsidP="00806FB8">
      <w:pPr>
        <w:autoSpaceDE w:val="0"/>
        <w:autoSpaceDN w:val="0"/>
        <w:adjustRightInd w:val="0"/>
        <w:rPr>
          <w:i/>
          <w:iCs/>
          <w:sz w:val="24"/>
          <w:szCs w:val="24"/>
        </w:rPr>
      </w:pPr>
      <w:r w:rsidRPr="00A83B39">
        <w:rPr>
          <w:i/>
          <w:iCs/>
          <w:sz w:val="24"/>
          <w:szCs w:val="24"/>
        </w:rPr>
        <w:t>Donc, le TRI est de 6.4%, l'autre valeur n'étant pas possible.</w:t>
      </w:r>
    </w:p>
    <w:p w:rsidR="00806FB8" w:rsidRPr="00BA0911" w:rsidRDefault="00806FB8" w:rsidP="00806FB8">
      <w:pPr>
        <w:autoSpaceDE w:val="0"/>
        <w:autoSpaceDN w:val="0"/>
        <w:adjustRightInd w:val="0"/>
        <w:rPr>
          <w:rFonts w:ascii="Cambria Math"/>
          <w:sz w:val="24"/>
          <w:szCs w:val="24"/>
        </w:rPr>
      </w:pPr>
    </w:p>
    <w:p w:rsidR="00806FB8" w:rsidRPr="00A83B39" w:rsidRDefault="00806FB8" w:rsidP="00806FB8">
      <w:pPr>
        <w:autoSpaceDE w:val="0"/>
        <w:autoSpaceDN w:val="0"/>
        <w:adjustRightInd w:val="0"/>
        <w:rPr>
          <w:i/>
          <w:iCs/>
          <w:sz w:val="24"/>
          <w:szCs w:val="24"/>
        </w:rPr>
      </w:pPr>
    </w:p>
    <w:p w:rsidR="00806FB8" w:rsidRPr="00A83B39" w:rsidRDefault="00806FB8" w:rsidP="00806FB8">
      <w:pPr>
        <w:autoSpaceDE w:val="0"/>
        <w:autoSpaceDN w:val="0"/>
        <w:adjustRightInd w:val="0"/>
        <w:rPr>
          <w:i/>
          <w:iCs/>
          <w:sz w:val="24"/>
          <w:szCs w:val="24"/>
        </w:rPr>
      </w:pPr>
      <w:r w:rsidRPr="00A83B39">
        <w:rPr>
          <w:i/>
          <w:iCs/>
          <w:sz w:val="24"/>
          <w:szCs w:val="24"/>
        </w:rPr>
        <w:t>Dans cet exemple le TRI est égal à 6.4%. Ce qui revient à dire que l’ensemble des flux consacrés à cette activité devra générer un rendement de 6.4%.</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sz w:val="24"/>
          <w:szCs w:val="24"/>
        </w:rPr>
      </w:pPr>
      <w:r w:rsidRPr="00A83B39">
        <w:rPr>
          <w:b/>
          <w:bCs/>
          <w:sz w:val="24"/>
          <w:szCs w:val="24"/>
        </w:rPr>
        <w:t>Les TRI prévisionnels s’accompagnent d’études de sensibilité des différents paramètres</w:t>
      </w:r>
      <w:r w:rsidRPr="00A83B39">
        <w:rPr>
          <w:sz w:val="24"/>
          <w:szCs w:val="24"/>
        </w:rPr>
        <w:t xml:space="preserve">. </w:t>
      </w:r>
    </w:p>
    <w:p w:rsidR="00806FB8" w:rsidRDefault="00806FB8" w:rsidP="00806FB8">
      <w:pPr>
        <w:autoSpaceDE w:val="0"/>
        <w:autoSpaceDN w:val="0"/>
        <w:adjustRightInd w:val="0"/>
        <w:rPr>
          <w:sz w:val="24"/>
          <w:szCs w:val="24"/>
        </w:rPr>
      </w:pPr>
      <w:r w:rsidRPr="00A83B39">
        <w:rPr>
          <w:sz w:val="24"/>
          <w:szCs w:val="24"/>
        </w:rPr>
        <w:t>En effet en changeant telle ou telle variable le TRI peut varier de façon</w:t>
      </w:r>
      <w:r w:rsidRPr="00A83B39">
        <w:rPr>
          <w:b/>
          <w:bCs/>
          <w:sz w:val="24"/>
          <w:szCs w:val="24"/>
        </w:rPr>
        <w:t xml:space="preserve"> </w:t>
      </w:r>
      <w:r w:rsidRPr="00A83B39">
        <w:rPr>
          <w:sz w:val="24"/>
          <w:szCs w:val="24"/>
        </w:rPr>
        <w:t>parfois importante.</w:t>
      </w:r>
    </w:p>
    <w:p w:rsidR="00806FB8"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ind w:left="1225" w:hanging="505"/>
        <w:contextualSpacing/>
        <w:jc w:val="left"/>
        <w:outlineLvl w:val="3"/>
        <w:rPr>
          <w:rFonts w:ascii="Arial" w:hAnsi="Arial" w:cs="Arial"/>
          <w:b/>
          <w:bCs/>
          <w:szCs w:val="22"/>
        </w:rPr>
      </w:pPr>
      <w:bookmarkStart w:id="73" w:name="_Toc351126787"/>
      <w:r w:rsidRPr="00A83B39">
        <w:rPr>
          <w:rFonts w:ascii="Arial" w:hAnsi="Arial" w:cs="Arial"/>
          <w:b/>
          <w:bCs/>
          <w:szCs w:val="22"/>
        </w:rPr>
        <w:t>2.1.2 Valeur Actuelle Nette (VAN / NPV)</w:t>
      </w:r>
      <w:bookmarkEnd w:id="73"/>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rPr>
          <w:sz w:val="24"/>
          <w:szCs w:val="24"/>
        </w:rPr>
      </w:pPr>
      <w:r w:rsidRPr="00A83B39">
        <w:rPr>
          <w:sz w:val="24"/>
          <w:szCs w:val="24"/>
        </w:rPr>
        <w:t xml:space="preserve">Le calcul du TRI peut être rapproché de celui de la VAN (Valeur Actuelle Nette ou Net </w:t>
      </w:r>
      <w:proofErr w:type="spellStart"/>
      <w:r w:rsidRPr="00A83B39">
        <w:rPr>
          <w:sz w:val="24"/>
          <w:szCs w:val="24"/>
        </w:rPr>
        <w:t>Present</w:t>
      </w:r>
      <w:proofErr w:type="spellEnd"/>
      <w:r w:rsidRPr="00A83B39">
        <w:rPr>
          <w:sz w:val="24"/>
          <w:szCs w:val="24"/>
        </w:rPr>
        <w:t xml:space="preserve"> Value).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La VAN est la valeur actualisée des flux au coût du capital (</w:t>
      </w:r>
      <w:proofErr w:type="spellStart"/>
      <w:r w:rsidRPr="00A83B39">
        <w:rPr>
          <w:sz w:val="24"/>
          <w:szCs w:val="24"/>
        </w:rPr>
        <w:t>risk</w:t>
      </w:r>
      <w:proofErr w:type="spellEnd"/>
      <w:r w:rsidRPr="00A83B39">
        <w:rPr>
          <w:sz w:val="24"/>
          <w:szCs w:val="24"/>
        </w:rPr>
        <w:t xml:space="preserve"> discount rate). Le coût du capital correspond au rendement attendu par l’actionnaire. Il est égal au taux sans risque (rendement d’obligation d’État) plus une prime de risque fixée par l’actionnaire.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TRI et VAN sont donc des concepts liés car le TRI correspond au taux du capital pour lequel la VAN est nulle.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Exemple : dans l’exemple précédent voici la VAN calculée pour différents niveaux de taux d’actualisation. </w:t>
      </w:r>
    </w:p>
    <w:p w:rsidR="00806FB8" w:rsidRPr="00A83B39" w:rsidRDefault="00806FB8" w:rsidP="00806FB8">
      <w:pPr>
        <w:autoSpaceDE w:val="0"/>
        <w:autoSpaceDN w:val="0"/>
        <w:adjustRightInd w:val="0"/>
        <w:rPr>
          <w:sz w:val="24"/>
          <w:szCs w:val="24"/>
        </w:rPr>
      </w:pPr>
      <w:r w:rsidRPr="00A83B39">
        <w:rPr>
          <w:sz w:val="24"/>
          <w:szCs w:val="24"/>
        </w:rPr>
        <w:t>La VAN devient positive pour un taux de 7% ce qui est cohérent puisque le TRI calculé était de 6.4%.</w:t>
      </w:r>
    </w:p>
    <w:p w:rsidR="00806FB8" w:rsidRPr="00A83B39" w:rsidRDefault="00806FB8" w:rsidP="00806FB8">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tblGrid>
      <w:tr w:rsidR="00806FB8" w:rsidRPr="00A83B39" w:rsidTr="003F50D4">
        <w:tc>
          <w:tcPr>
            <w:tcW w:w="1535" w:type="dxa"/>
            <w:vAlign w:val="center"/>
          </w:tcPr>
          <w:p w:rsidR="00806FB8" w:rsidRPr="00A83B39" w:rsidRDefault="00806FB8" w:rsidP="003F50D4">
            <w:pPr>
              <w:autoSpaceDE w:val="0"/>
              <w:autoSpaceDN w:val="0"/>
              <w:adjustRightInd w:val="0"/>
              <w:rPr>
                <w:sz w:val="24"/>
                <w:szCs w:val="24"/>
              </w:rPr>
            </w:pPr>
            <w:r w:rsidRPr="00A83B39">
              <w:rPr>
                <w:sz w:val="24"/>
                <w:szCs w:val="24"/>
              </w:rPr>
              <w:t>Taux actualisation</w:t>
            </w:r>
          </w:p>
        </w:tc>
        <w:tc>
          <w:tcPr>
            <w:tcW w:w="1535" w:type="dxa"/>
            <w:vAlign w:val="center"/>
          </w:tcPr>
          <w:p w:rsidR="00806FB8" w:rsidRPr="00A83B39" w:rsidRDefault="00806FB8" w:rsidP="003F50D4">
            <w:pPr>
              <w:autoSpaceDE w:val="0"/>
              <w:autoSpaceDN w:val="0"/>
              <w:adjustRightInd w:val="0"/>
              <w:rPr>
                <w:sz w:val="24"/>
                <w:szCs w:val="24"/>
              </w:rPr>
            </w:pPr>
            <w:r w:rsidRPr="00A83B39">
              <w:rPr>
                <w:sz w:val="24"/>
                <w:szCs w:val="24"/>
              </w:rPr>
              <w:t>6%</w:t>
            </w:r>
          </w:p>
        </w:tc>
        <w:tc>
          <w:tcPr>
            <w:tcW w:w="1535" w:type="dxa"/>
            <w:vAlign w:val="center"/>
          </w:tcPr>
          <w:p w:rsidR="00806FB8" w:rsidRPr="00A83B39" w:rsidRDefault="00806FB8" w:rsidP="003F50D4">
            <w:pPr>
              <w:autoSpaceDE w:val="0"/>
              <w:autoSpaceDN w:val="0"/>
              <w:adjustRightInd w:val="0"/>
              <w:rPr>
                <w:sz w:val="24"/>
                <w:szCs w:val="24"/>
              </w:rPr>
            </w:pPr>
            <w:r w:rsidRPr="00A83B39">
              <w:rPr>
                <w:sz w:val="24"/>
                <w:szCs w:val="24"/>
              </w:rPr>
              <w:t>7%</w:t>
            </w:r>
          </w:p>
        </w:tc>
        <w:tc>
          <w:tcPr>
            <w:tcW w:w="1535" w:type="dxa"/>
            <w:vAlign w:val="center"/>
          </w:tcPr>
          <w:p w:rsidR="00806FB8" w:rsidRPr="00A83B39" w:rsidRDefault="00806FB8" w:rsidP="003F50D4">
            <w:pPr>
              <w:autoSpaceDE w:val="0"/>
              <w:autoSpaceDN w:val="0"/>
              <w:adjustRightInd w:val="0"/>
              <w:rPr>
                <w:sz w:val="24"/>
                <w:szCs w:val="24"/>
              </w:rPr>
            </w:pPr>
            <w:r w:rsidRPr="00A83B39">
              <w:rPr>
                <w:sz w:val="24"/>
                <w:szCs w:val="24"/>
              </w:rPr>
              <w:t>8%</w:t>
            </w:r>
          </w:p>
        </w:tc>
      </w:tr>
      <w:tr w:rsidR="00806FB8" w:rsidRPr="00A83B39" w:rsidTr="003F50D4">
        <w:tc>
          <w:tcPr>
            <w:tcW w:w="1535" w:type="dxa"/>
            <w:vAlign w:val="center"/>
          </w:tcPr>
          <w:p w:rsidR="00806FB8" w:rsidRPr="00A83B39" w:rsidRDefault="00806FB8" w:rsidP="003F50D4">
            <w:pPr>
              <w:autoSpaceDE w:val="0"/>
              <w:autoSpaceDN w:val="0"/>
              <w:adjustRightInd w:val="0"/>
              <w:rPr>
                <w:sz w:val="24"/>
                <w:szCs w:val="24"/>
              </w:rPr>
            </w:pPr>
            <w:r w:rsidRPr="00A83B39">
              <w:rPr>
                <w:sz w:val="24"/>
                <w:szCs w:val="24"/>
              </w:rPr>
              <w:t>VAN</w:t>
            </w:r>
          </w:p>
        </w:tc>
        <w:tc>
          <w:tcPr>
            <w:tcW w:w="1535" w:type="dxa"/>
            <w:vAlign w:val="center"/>
          </w:tcPr>
          <w:p w:rsidR="00806FB8" w:rsidRPr="00A83B39" w:rsidRDefault="00806FB8" w:rsidP="003F50D4">
            <w:pPr>
              <w:autoSpaceDE w:val="0"/>
              <w:autoSpaceDN w:val="0"/>
              <w:adjustRightInd w:val="0"/>
              <w:rPr>
                <w:sz w:val="24"/>
                <w:szCs w:val="24"/>
              </w:rPr>
            </w:pPr>
            <w:r w:rsidRPr="00A83B39">
              <w:rPr>
                <w:sz w:val="24"/>
                <w:szCs w:val="24"/>
              </w:rPr>
              <w:t>-0.06</w:t>
            </w:r>
          </w:p>
        </w:tc>
        <w:tc>
          <w:tcPr>
            <w:tcW w:w="1535" w:type="dxa"/>
            <w:vAlign w:val="center"/>
          </w:tcPr>
          <w:p w:rsidR="00806FB8" w:rsidRPr="00A83B39" w:rsidRDefault="00806FB8" w:rsidP="003F50D4">
            <w:pPr>
              <w:autoSpaceDE w:val="0"/>
              <w:autoSpaceDN w:val="0"/>
              <w:adjustRightInd w:val="0"/>
              <w:rPr>
                <w:sz w:val="24"/>
                <w:szCs w:val="24"/>
              </w:rPr>
            </w:pPr>
            <w:r w:rsidRPr="00A83B39">
              <w:rPr>
                <w:sz w:val="24"/>
                <w:szCs w:val="24"/>
              </w:rPr>
              <w:t>0,08</w:t>
            </w:r>
          </w:p>
        </w:tc>
        <w:tc>
          <w:tcPr>
            <w:tcW w:w="1535" w:type="dxa"/>
            <w:vAlign w:val="center"/>
          </w:tcPr>
          <w:p w:rsidR="00806FB8" w:rsidRPr="00A83B39" w:rsidRDefault="00806FB8" w:rsidP="003F50D4">
            <w:pPr>
              <w:autoSpaceDE w:val="0"/>
              <w:autoSpaceDN w:val="0"/>
              <w:adjustRightInd w:val="0"/>
              <w:rPr>
                <w:sz w:val="24"/>
                <w:szCs w:val="24"/>
              </w:rPr>
            </w:pPr>
            <w:r w:rsidRPr="00A83B39">
              <w:rPr>
                <w:sz w:val="24"/>
                <w:szCs w:val="24"/>
              </w:rPr>
              <w:t>0,22</w:t>
            </w:r>
          </w:p>
        </w:tc>
      </w:tr>
    </w:tbl>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Si le TRI est principalement utilisé pour calculer la rentabilité dégagée par les affaires nouvelles ou dans le cadre des projets, la VAN est plutôt </w:t>
      </w:r>
      <w:proofErr w:type="gramStart"/>
      <w:r w:rsidRPr="00A83B39">
        <w:rPr>
          <w:sz w:val="24"/>
          <w:szCs w:val="24"/>
        </w:rPr>
        <w:t>tournée</w:t>
      </w:r>
      <w:proofErr w:type="gramEnd"/>
      <w:r w:rsidRPr="00A83B39">
        <w:rPr>
          <w:sz w:val="24"/>
          <w:szCs w:val="24"/>
        </w:rPr>
        <w:t xml:space="preserve"> vers l’évaluation du portefeuille dans son ensemble.</w: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1"/>
          <w:numId w:val="36"/>
        </w:numPr>
        <w:ind w:left="788" w:hanging="431"/>
        <w:contextualSpacing w:val="0"/>
        <w:outlineLvl w:val="2"/>
        <w:rPr>
          <w:color w:val="000000"/>
          <w:szCs w:val="22"/>
        </w:rPr>
      </w:pPr>
      <w:bookmarkStart w:id="74" w:name="_Toc351126788"/>
      <w:r w:rsidRPr="00A83B39">
        <w:rPr>
          <w:color w:val="000000"/>
          <w:szCs w:val="22"/>
        </w:rPr>
        <w:t>Valorisation d’une entreprise d’assurance : Embedded value et goodwill</w:t>
      </w:r>
      <w:bookmarkEnd w:id="74"/>
    </w:p>
    <w:p w:rsidR="00806FB8" w:rsidRPr="00A83B39" w:rsidRDefault="00806FB8" w:rsidP="00806FB8">
      <w:pPr>
        <w:pStyle w:val="ListParagraph"/>
        <w:autoSpaceDE w:val="0"/>
        <w:autoSpaceDN w:val="0"/>
        <w:adjustRightInd w:val="0"/>
        <w:ind w:left="792"/>
        <w:jc w:val="left"/>
        <w:rPr>
          <w:color w:val="000000"/>
          <w:szCs w:val="22"/>
        </w:rPr>
      </w:pPr>
    </w:p>
    <w:p w:rsidR="00806FB8" w:rsidRPr="00A83B39" w:rsidRDefault="00806FB8" w:rsidP="00806FB8">
      <w:pPr>
        <w:pStyle w:val="ListParagraph"/>
        <w:numPr>
          <w:ilvl w:val="2"/>
          <w:numId w:val="36"/>
        </w:numPr>
        <w:autoSpaceDE w:val="0"/>
        <w:autoSpaceDN w:val="0"/>
        <w:adjustRightInd w:val="0"/>
        <w:ind w:left="1225" w:hanging="505"/>
        <w:jc w:val="left"/>
        <w:outlineLvl w:val="3"/>
        <w:rPr>
          <w:color w:val="000000"/>
          <w:szCs w:val="22"/>
        </w:rPr>
      </w:pPr>
      <w:bookmarkStart w:id="75" w:name="_Toc351126789"/>
      <w:r w:rsidRPr="00A83B39">
        <w:rPr>
          <w:color w:val="000000"/>
          <w:szCs w:val="22"/>
        </w:rPr>
        <w:t>Calcul de l’Embedded value</w:t>
      </w:r>
      <w:bookmarkEnd w:id="75"/>
    </w:p>
    <w:p w:rsidR="00806FB8" w:rsidRPr="00A83B39" w:rsidRDefault="00806FB8" w:rsidP="00806FB8">
      <w:pPr>
        <w:pStyle w:val="ListParagraph"/>
        <w:autoSpaceDE w:val="0"/>
        <w:autoSpaceDN w:val="0"/>
        <w:adjustRightInd w:val="0"/>
        <w:ind w:left="1224"/>
        <w:jc w:val="left"/>
        <w:rPr>
          <w:color w:val="000000"/>
          <w:szCs w:val="22"/>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L’Embedded value (EV) ou valeur intrinsèque représente la valeur de l’entreprise hors prise en compte d’un « goodwill ». Il s’agit donc d’un des principaux indicateurs de pilotage de la performance pour la direction générale de l’entreprise puisqu’il permet d’estimer la création de valeur entre deux périodes. C’est aussi un élément de communication financière important notamment vis-à-vis de l’actionnaire.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calcul de l’Embedded value est en général réalisé par des actuaires ou fait l’objet d’externalisation auprès de cabinets spécialisés. En effet, la détermination de l’Embedded value, en particulier dans ses évolutions actuelles (</w:t>
      </w:r>
      <w:proofErr w:type="spellStart"/>
      <w:r w:rsidRPr="00A83B39">
        <w:rPr>
          <w:color w:val="000000"/>
          <w:sz w:val="24"/>
          <w:szCs w:val="24"/>
        </w:rPr>
        <w:t>european</w:t>
      </w:r>
      <w:proofErr w:type="spellEnd"/>
      <w:r w:rsidRPr="00A83B39">
        <w:rPr>
          <w:color w:val="000000"/>
          <w:sz w:val="24"/>
          <w:szCs w:val="24"/>
        </w:rPr>
        <w:t xml:space="preserve"> Embedded value) implique des techniques de modélisation complexes (techniques stochastiques). La collaboration avec les services de contrôle de gestion est nécessaire puisque le calcul de l’Embedded value nécessite l’exploitation de données relatives aux frais généraux issues de la comptabilité analytique. Il s’agit d’ailleurs de paramètres particulièrement sensibles.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L’Embedded value est égale à la somme de l’actif net réévalué de la société plus la valeur actualisée du portefeuille (value in force).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jc w:val="center"/>
        <w:rPr>
          <w:color w:val="33339B"/>
          <w:sz w:val="24"/>
          <w:szCs w:val="24"/>
        </w:rPr>
      </w:pPr>
      <w:r w:rsidRPr="00A83B39">
        <w:rPr>
          <w:color w:val="33339B"/>
          <w:sz w:val="24"/>
          <w:szCs w:val="24"/>
        </w:rPr>
        <w:t>Embedded value (EV)</w:t>
      </w:r>
    </w:p>
    <w:p w:rsidR="00806FB8" w:rsidRPr="00A83B39" w:rsidRDefault="00806FB8" w:rsidP="00806FB8">
      <w:pPr>
        <w:autoSpaceDE w:val="0"/>
        <w:autoSpaceDN w:val="0"/>
        <w:adjustRightInd w:val="0"/>
        <w:jc w:val="center"/>
        <w:rPr>
          <w:color w:val="33339B"/>
          <w:sz w:val="24"/>
          <w:szCs w:val="24"/>
        </w:rPr>
      </w:pPr>
      <w:r w:rsidRPr="00A83B39">
        <w:rPr>
          <w:color w:val="33339B"/>
          <w:sz w:val="24"/>
          <w:szCs w:val="24"/>
        </w:rPr>
        <w:t>=</w:t>
      </w:r>
    </w:p>
    <w:p w:rsidR="00806FB8" w:rsidRPr="00A83B39" w:rsidRDefault="00806FB8" w:rsidP="00806FB8">
      <w:pPr>
        <w:autoSpaceDE w:val="0"/>
        <w:autoSpaceDN w:val="0"/>
        <w:adjustRightInd w:val="0"/>
        <w:jc w:val="center"/>
        <w:rPr>
          <w:color w:val="33339B"/>
          <w:sz w:val="24"/>
          <w:szCs w:val="24"/>
        </w:rPr>
      </w:pPr>
      <w:r w:rsidRPr="00A83B39">
        <w:rPr>
          <w:color w:val="33339B"/>
          <w:sz w:val="24"/>
          <w:szCs w:val="24"/>
        </w:rPr>
        <w:t>Actif net réévalué (ANR) + Valeur du portefeuille (value in force)</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L’actif net corrigé représente la part des actifs de la société étant réputés appartenir aux actionnaires. Il est égal aux fonds propres comptables après retraitements. Les corrections portent notamment sur la prise en compte des plus ou moins-values sur les actifs.</w:t>
      </w:r>
    </w:p>
    <w:p w:rsidR="00806FB8" w:rsidRPr="00A83B39" w:rsidRDefault="00806FB8" w:rsidP="00806FB8">
      <w:pPr>
        <w:autoSpaceDE w:val="0"/>
        <w:autoSpaceDN w:val="0"/>
        <w:adjustRightInd w:val="0"/>
        <w:rPr>
          <w:color w:val="000000"/>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La valeur du portefeuille correspond à la valeur actuelle des résultats futurs probables issus des contrats en portefeuille compte tenu du coût d’immobilisation des fonds propres (ce qui correspond donc à la NPV).</w:t>
      </w:r>
    </w:p>
    <w:p w:rsidR="00806FB8" w:rsidRPr="00A83B39" w:rsidRDefault="00806FB8" w:rsidP="00806FB8">
      <w:pPr>
        <w:autoSpaceDE w:val="0"/>
        <w:autoSpaceDN w:val="0"/>
        <w:adjustRightInd w:val="0"/>
        <w:jc w:val="left"/>
        <w:rPr>
          <w:color w:val="000000"/>
          <w:szCs w:val="22"/>
        </w:rPr>
      </w:pPr>
    </w:p>
    <w:p w:rsidR="00806FB8" w:rsidRPr="00A83B39" w:rsidRDefault="00806FB8" w:rsidP="00806FB8">
      <w:pPr>
        <w:pStyle w:val="ListParagraph"/>
        <w:numPr>
          <w:ilvl w:val="2"/>
          <w:numId w:val="36"/>
        </w:numPr>
        <w:autoSpaceDE w:val="0"/>
        <w:autoSpaceDN w:val="0"/>
        <w:adjustRightInd w:val="0"/>
        <w:ind w:left="1225" w:hanging="505"/>
        <w:jc w:val="left"/>
        <w:outlineLvl w:val="3"/>
        <w:rPr>
          <w:color w:val="000000"/>
          <w:szCs w:val="22"/>
        </w:rPr>
      </w:pPr>
      <w:bookmarkStart w:id="76" w:name="_Toc351126790"/>
      <w:r w:rsidRPr="00A83B39">
        <w:rPr>
          <w:color w:val="000000"/>
          <w:szCs w:val="22"/>
        </w:rPr>
        <w:t>Goodwill et valorisation d’entreprise d’assurance</w:t>
      </w:r>
      <w:bookmarkEnd w:id="76"/>
    </w:p>
    <w:p w:rsidR="00806FB8" w:rsidRPr="00A83B39" w:rsidRDefault="00806FB8" w:rsidP="00806FB8">
      <w:pPr>
        <w:autoSpaceDE w:val="0"/>
        <w:autoSpaceDN w:val="0"/>
        <w:adjustRightInd w:val="0"/>
        <w:jc w:val="left"/>
        <w:rPr>
          <w:szCs w:val="22"/>
        </w:rPr>
      </w:pPr>
    </w:p>
    <w:p w:rsidR="00806FB8" w:rsidRPr="00A83B39" w:rsidRDefault="00806FB8" w:rsidP="00806FB8">
      <w:pPr>
        <w:autoSpaceDE w:val="0"/>
        <w:autoSpaceDN w:val="0"/>
        <w:adjustRightInd w:val="0"/>
        <w:rPr>
          <w:sz w:val="24"/>
          <w:szCs w:val="24"/>
        </w:rPr>
      </w:pPr>
      <w:r w:rsidRPr="00A83B39">
        <w:rPr>
          <w:sz w:val="24"/>
          <w:szCs w:val="24"/>
        </w:rPr>
        <w:t xml:space="preserve">Le « goodwill » correspond à la valeur actuelle des résultats probables issus des contrats futurs. Cela correspond donc à la valorisation du potentiel de développement rentable de l’entreprise. Cette valorisation tout comme la valeur du portefeuille intègre le coût d’immobilisation des fonds propres. L’actualisation est alors réalisée à un taux supérieur à la valorisation du stock en raison de la prise en compte d’une </w:t>
      </w:r>
      <w:proofErr w:type="spellStart"/>
      <w:r w:rsidRPr="00A83B39">
        <w:rPr>
          <w:sz w:val="24"/>
          <w:szCs w:val="24"/>
        </w:rPr>
        <w:t>sur-prime</w:t>
      </w:r>
      <w:proofErr w:type="spellEnd"/>
      <w:r w:rsidRPr="00A83B39">
        <w:rPr>
          <w:sz w:val="24"/>
          <w:szCs w:val="24"/>
        </w:rPr>
        <w:t xml:space="preserve"> de risque. Le calcul du goodwill peut être réalisé sur la base d’un business plan ou sur la base d’un multiple d’une année de production.</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La valeur de l’entreprise (</w:t>
      </w:r>
      <w:proofErr w:type="spellStart"/>
      <w:r w:rsidRPr="00A83B39">
        <w:rPr>
          <w:i/>
          <w:iCs/>
          <w:sz w:val="24"/>
          <w:szCs w:val="24"/>
        </w:rPr>
        <w:t>appraisal</w:t>
      </w:r>
      <w:proofErr w:type="spellEnd"/>
      <w:r w:rsidRPr="00A83B39">
        <w:rPr>
          <w:i/>
          <w:iCs/>
          <w:sz w:val="24"/>
          <w:szCs w:val="24"/>
        </w:rPr>
        <w:t xml:space="preserve"> value</w:t>
      </w:r>
      <w:r w:rsidRPr="00A83B39">
        <w:rPr>
          <w:sz w:val="24"/>
          <w:szCs w:val="24"/>
        </w:rPr>
        <w:t xml:space="preserve">) est égale à la somme de l’Embedded value et du goodwill </w:t>
      </w:r>
    </w:p>
    <w:p w:rsidR="00806FB8" w:rsidRPr="00A83B39" w:rsidRDefault="00806FB8" w:rsidP="00806FB8">
      <w:pPr>
        <w:autoSpaceDE w:val="0"/>
        <w:autoSpaceDN w:val="0"/>
        <w:adjustRightInd w:val="0"/>
        <w:rPr>
          <w:color w:val="33339B"/>
          <w:sz w:val="24"/>
          <w:szCs w:val="24"/>
        </w:rPr>
      </w:pPr>
    </w:p>
    <w:p w:rsidR="00806FB8" w:rsidRPr="00A83B39" w:rsidRDefault="00806FB8" w:rsidP="00806FB8">
      <w:pPr>
        <w:autoSpaceDE w:val="0"/>
        <w:autoSpaceDN w:val="0"/>
        <w:adjustRightInd w:val="0"/>
        <w:jc w:val="center"/>
        <w:rPr>
          <w:color w:val="33339B"/>
          <w:sz w:val="24"/>
          <w:szCs w:val="24"/>
        </w:rPr>
      </w:pPr>
      <w:r w:rsidRPr="00A83B39">
        <w:rPr>
          <w:color w:val="33339B"/>
          <w:sz w:val="24"/>
          <w:szCs w:val="24"/>
        </w:rPr>
        <w:t>Valeur de l’entreprise (</w:t>
      </w:r>
      <w:proofErr w:type="spellStart"/>
      <w:r w:rsidRPr="00A83B39">
        <w:rPr>
          <w:i/>
          <w:iCs/>
          <w:color w:val="33339B"/>
          <w:sz w:val="24"/>
          <w:szCs w:val="24"/>
        </w:rPr>
        <w:t>appraisal</w:t>
      </w:r>
      <w:proofErr w:type="spellEnd"/>
      <w:r w:rsidRPr="00A83B39">
        <w:rPr>
          <w:i/>
          <w:iCs/>
          <w:color w:val="33339B"/>
          <w:sz w:val="24"/>
          <w:szCs w:val="24"/>
        </w:rPr>
        <w:t xml:space="preserve"> value</w:t>
      </w:r>
      <w:r w:rsidRPr="00A83B39">
        <w:rPr>
          <w:color w:val="33339B"/>
          <w:sz w:val="24"/>
          <w:szCs w:val="24"/>
        </w:rPr>
        <w:t>) = Valeur intrinsèque (EV) + Goodwill</w:t>
      </w:r>
    </w:p>
    <w:p w:rsidR="00806FB8" w:rsidRPr="00A83B39" w:rsidRDefault="00806FB8" w:rsidP="00806FB8">
      <w:pPr>
        <w:autoSpaceDE w:val="0"/>
        <w:autoSpaceDN w:val="0"/>
        <w:adjustRightInd w:val="0"/>
        <w:jc w:val="center"/>
        <w:rPr>
          <w:rFonts w:ascii="ArialMT" w:hAnsi="ArialMT" w:cs="ArialMT"/>
          <w:color w:val="33339B"/>
          <w:szCs w:val="22"/>
        </w:rPr>
      </w:pPr>
    </w:p>
    <w:p w:rsidR="00806FB8" w:rsidRPr="00A83B39" w:rsidRDefault="00806FB8" w:rsidP="00806FB8">
      <w:pPr>
        <w:autoSpaceDE w:val="0"/>
        <w:autoSpaceDN w:val="0"/>
        <w:adjustRightInd w:val="0"/>
        <w:jc w:val="center"/>
        <w:rPr>
          <w:rFonts w:ascii="ArialMT" w:hAnsi="ArialMT" w:cs="ArialMT"/>
          <w:color w:val="33339B"/>
          <w:szCs w:val="22"/>
        </w:rPr>
      </w:pPr>
    </w:p>
    <w:p w:rsidR="00806FB8" w:rsidRPr="00A83B39" w:rsidRDefault="00806FB8" w:rsidP="00806FB8">
      <w:pPr>
        <w:autoSpaceDE w:val="0"/>
        <w:autoSpaceDN w:val="0"/>
        <w:adjustRightInd w:val="0"/>
        <w:jc w:val="center"/>
        <w:rPr>
          <w:rFonts w:ascii="ArialMT" w:hAnsi="ArialMT" w:cs="ArialMT"/>
          <w:color w:val="33339B"/>
          <w:szCs w:val="22"/>
        </w:rPr>
      </w:pPr>
    </w:p>
    <w:p w:rsidR="00806FB8" w:rsidRPr="00A83B39" w:rsidRDefault="00806FB8" w:rsidP="00806FB8">
      <w:pPr>
        <w:autoSpaceDE w:val="0"/>
        <w:autoSpaceDN w:val="0"/>
        <w:adjustRightInd w:val="0"/>
        <w:jc w:val="center"/>
        <w:rPr>
          <w:rFonts w:ascii="ArialMT" w:hAnsi="ArialMT" w:cs="ArialMT"/>
          <w:color w:val="33339B"/>
          <w:szCs w:val="22"/>
        </w:rPr>
      </w:pPr>
      <w:r>
        <w:rPr>
          <w:rFonts w:ascii="ArialMT" w:hAnsi="ArialMT" w:cs="ArialMT"/>
          <w:noProof/>
          <w:color w:val="33339B"/>
          <w:szCs w:val="22"/>
        </w:rPr>
        <mc:AlternateContent>
          <mc:Choice Requires="wpg">
            <w:drawing>
              <wp:anchor distT="0" distB="0" distL="114300" distR="114300" simplePos="0" relativeHeight="251660800" behindDoc="0" locked="0" layoutInCell="1" allowOverlap="1">
                <wp:simplePos x="0" y="0"/>
                <wp:positionH relativeFrom="column">
                  <wp:posOffset>24130</wp:posOffset>
                </wp:positionH>
                <wp:positionV relativeFrom="paragraph">
                  <wp:posOffset>-61595</wp:posOffset>
                </wp:positionV>
                <wp:extent cx="5365750" cy="2487930"/>
                <wp:effectExtent l="9525" t="6985" r="6350" b="1016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2487930"/>
                          <a:chOff x="2495" y="11152"/>
                          <a:chExt cx="8450" cy="3918"/>
                        </a:xfrm>
                      </wpg:grpSpPr>
                      <wps:wsp>
                        <wps:cNvPr id="64" name="Rectangle 3"/>
                        <wps:cNvSpPr>
                          <a:spLocks noChangeArrowheads="1"/>
                        </wps:cNvSpPr>
                        <wps:spPr bwMode="auto">
                          <a:xfrm>
                            <a:off x="2495" y="11353"/>
                            <a:ext cx="2110" cy="1054"/>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Actif net réévalué</w:t>
                              </w:r>
                            </w:p>
                          </w:txbxContent>
                        </wps:txbx>
                        <wps:bodyPr rot="0" vert="horz" wrap="square" lIns="91440" tIns="45720" rIns="91440" bIns="45720" anchor="ctr" anchorCtr="0" upright="1">
                          <a:noAutofit/>
                        </wps:bodyPr>
                      </wps:wsp>
                      <wps:wsp>
                        <wps:cNvPr id="65" name="Rectangle 4"/>
                        <wps:cNvSpPr>
                          <a:spLocks noChangeArrowheads="1"/>
                        </wps:cNvSpPr>
                        <wps:spPr bwMode="auto">
                          <a:xfrm>
                            <a:off x="2495" y="12647"/>
                            <a:ext cx="2110" cy="1054"/>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Valeur du portefeuille (VIF)</w:t>
                              </w:r>
                            </w:p>
                          </w:txbxContent>
                        </wps:txbx>
                        <wps:bodyPr rot="0" vert="horz" wrap="square" lIns="91440" tIns="45720" rIns="91440" bIns="45720" anchor="ctr" anchorCtr="0" upright="1">
                          <a:noAutofit/>
                        </wps:bodyPr>
                      </wps:wsp>
                      <wps:wsp>
                        <wps:cNvPr id="66" name="AutoShape 5"/>
                        <wps:cNvSpPr>
                          <a:spLocks/>
                        </wps:cNvSpPr>
                        <wps:spPr bwMode="auto">
                          <a:xfrm>
                            <a:off x="4923" y="11152"/>
                            <a:ext cx="301" cy="2729"/>
                          </a:xfrm>
                          <a:prstGeom prst="rightBrace">
                            <a:avLst>
                              <a:gd name="adj1" fmla="val 755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
                        <wps:cNvSpPr>
                          <a:spLocks noChangeArrowheads="1"/>
                        </wps:cNvSpPr>
                        <wps:spPr bwMode="auto">
                          <a:xfrm>
                            <a:off x="5682" y="11353"/>
                            <a:ext cx="2110" cy="2348"/>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Embedded value</w:t>
                              </w:r>
                            </w:p>
                          </w:txbxContent>
                        </wps:txbx>
                        <wps:bodyPr rot="0" vert="horz" wrap="square" lIns="91440" tIns="45720" rIns="91440" bIns="45720" anchor="ctr" anchorCtr="0" upright="1">
                          <a:noAutofit/>
                        </wps:bodyPr>
                      </wps:wsp>
                      <wps:wsp>
                        <wps:cNvPr id="68" name="Rectangle 7"/>
                        <wps:cNvSpPr>
                          <a:spLocks noChangeArrowheads="1"/>
                        </wps:cNvSpPr>
                        <wps:spPr bwMode="auto">
                          <a:xfrm>
                            <a:off x="5682" y="13881"/>
                            <a:ext cx="2110" cy="1054"/>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 xml:space="preserve">Valeur des affaires futures </w:t>
                              </w:r>
                              <w:proofErr w:type="gramStart"/>
                              <w:r>
                                <w:t>( goodwill</w:t>
                              </w:r>
                              <w:proofErr w:type="gramEnd"/>
                              <w:r>
                                <w:t>)</w:t>
                              </w:r>
                            </w:p>
                          </w:txbxContent>
                        </wps:txbx>
                        <wps:bodyPr rot="0" vert="horz" wrap="square" lIns="91440" tIns="45720" rIns="91440" bIns="45720" anchor="ctr" anchorCtr="0" upright="1">
                          <a:noAutofit/>
                        </wps:bodyPr>
                      </wps:wsp>
                      <wps:wsp>
                        <wps:cNvPr id="69" name="AutoShape 8"/>
                        <wps:cNvSpPr>
                          <a:spLocks/>
                        </wps:cNvSpPr>
                        <wps:spPr bwMode="auto">
                          <a:xfrm>
                            <a:off x="8110" y="11152"/>
                            <a:ext cx="301" cy="3918"/>
                          </a:xfrm>
                          <a:prstGeom prst="rightBrace">
                            <a:avLst>
                              <a:gd name="adj1" fmla="val 1084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9"/>
                        <wps:cNvSpPr>
                          <a:spLocks noChangeArrowheads="1"/>
                        </wps:cNvSpPr>
                        <wps:spPr bwMode="auto">
                          <a:xfrm>
                            <a:off x="8835" y="11353"/>
                            <a:ext cx="2110" cy="3582"/>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Valeur de la société (</w:t>
                              </w:r>
                              <w:proofErr w:type="spellStart"/>
                              <w:r>
                                <w:t>appraisal</w:t>
                              </w:r>
                              <w:proofErr w:type="spellEnd"/>
                              <w:r>
                                <w:t xml:space="preserve"> value)</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64" style="position:absolute;left:0;text-align:left;margin-left:1.9pt;margin-top:-4.85pt;width:422.5pt;height:195.9pt;z-index:251660800" coordorigin="2495,11152" coordsize="8450,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">
                <v:rect id="Rectangle 3" o:spid="_x0000_s1065" style="position:absolute;left:2495;top:11353;width:2110;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psUA&#10;AADbAAAADwAAAGRycy9kb3ducmV2LnhtbESPQWvCQBSE74X+h+UVvEjdKCKSukoolSp6MEkvvT2y&#10;r9nQ7NuQ3cb4791CocdhZr5hNrvRtmKg3jeOFcxnCQjiyumGawUf5f55DcIHZI2tY1JwIw+77ePD&#10;BlPtrpzTUIRaRAj7FBWYELpUSl8ZsuhnriOO3pfrLYYo+1rqHq8Rblu5SJKVtNhwXDDY0auh6rv4&#10;sQo+3dm9ZQm9d6Y8hmGa5adLkSs1eRqzFxCBxvAf/msftILVE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SmxQAAANsAAAAPAAAAAAAAAAAAAAAAAJgCAABkcnMv&#10;ZG93bnJldi54bWxQSwUGAAAAAAQABAD1AAAAigMAAAAA&#10;">
                  <v:textbox>
                    <w:txbxContent>
                      <w:p w:rsidR="00806FB8" w:rsidRDefault="00806FB8" w:rsidP="00806FB8">
                        <w:pPr>
                          <w:jc w:val="center"/>
                        </w:pPr>
                        <w:r>
                          <w:t>Actif net réévalué</w:t>
                        </w:r>
                      </w:p>
                    </w:txbxContent>
                  </v:textbox>
                </v:rect>
                <v:rect id="Rectangle 4" o:spid="_x0000_s1066" style="position:absolute;left:2495;top:12647;width:2110;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RPcUA&#10;AADbAAAADwAAAGRycy9kb3ducmV2LnhtbESPQWvCQBSE74X+h+UVvEjdKCiSukoolSp6MEkvvT2y&#10;r9nQ7NuQ3cb4791CocdhZr5hNrvRtmKg3jeOFcxnCQjiyumGawUf5f55DcIHZI2tY1JwIw+77ePD&#10;BlPtrpzTUIRaRAj7FBWYELpUSl8ZsuhnriOO3pfrLYYo+1rqHq8Rblu5SJKVtNhwXDDY0auh6rv4&#10;sQo+3dm9ZQm9d6Y8hmGa5adLkSs1eRqzFxCBxvAf/msftILVE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E9xQAAANsAAAAPAAAAAAAAAAAAAAAAAJgCAABkcnMv&#10;ZG93bnJldi54bWxQSwUGAAAAAAQABAD1AAAAigMAAAAA&#10;">
                  <v:textbox>
                    <w:txbxContent>
                      <w:p w:rsidR="00806FB8" w:rsidRDefault="00806FB8" w:rsidP="00806FB8">
                        <w:pPr>
                          <w:jc w:val="center"/>
                        </w:pPr>
                        <w:r>
                          <w:t>Valeur du portefeuille (VIF)</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67" type="#_x0000_t88" style="position:absolute;left:4923;top:11152;width:301;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a8sUA&#10;AADbAAAADwAAAGRycy9kb3ducmV2LnhtbESPQWsCMRSE74X+h/AKvdVsLSyyNYpVCqVaRCuU3p6b&#10;52Zx87Ikqbv+e1MQPA4z8w0znva2ESfyoXas4HmQgSAuna65UrD7fn8agQgRWWPjmBScKcB0cn83&#10;xkK7jjd02sZKJAiHAhWYGNtCylAashgGriVO3sF5izFJX0ntsUtw28hhluXSYs1pwWBLc0Plcftn&#10;FRx+zYv7XC2We+t/vnbN22y97yqlHh/62SuISH28ha/tD60gz+H/S/oBcn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xryxQAAANsAAAAPAAAAAAAAAAAAAAAAAJgCAABkcnMv&#10;ZG93bnJldi54bWxQSwUGAAAAAAQABAD1AAAAigMAAAAA&#10;"/>
                <v:rect id="Rectangle 6" o:spid="_x0000_s1068" style="position:absolute;left:5682;top:11353;width:2110;height:2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0q0cUA&#10;AADbAAAADwAAAGRycy9kb3ducmV2LnhtbESPQWvCQBSE74X+h+UVvEjd6EEldZVQKlXswSS99PbI&#10;vmZDs29Ddhvjv3eFQo/DzHzDbHajbcVAvW8cK5jPEhDEldMN1wo+y/3zGoQPyBpbx6TgSh5228eH&#10;DabaXTinoQi1iBD2KSowIXSplL4yZNHPXEccvW/XWwxR9rXUPV4i3LZykSRLabHhuGCwo1dD1U/x&#10;axV8uQ/3liX03pnyGIZplp/ORa7U5GnMXkAEGsN/+K990AqWK7h/iT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SrRxQAAANsAAAAPAAAAAAAAAAAAAAAAAJgCAABkcnMv&#10;ZG93bnJldi54bWxQSwUGAAAAAAQABAD1AAAAigMAAAAA&#10;">
                  <v:textbox>
                    <w:txbxContent>
                      <w:p w:rsidR="00806FB8" w:rsidRDefault="00806FB8" w:rsidP="00806FB8">
                        <w:pPr>
                          <w:jc w:val="center"/>
                        </w:pPr>
                        <w:r>
                          <w:t>Embedded value</w:t>
                        </w:r>
                      </w:p>
                    </w:txbxContent>
                  </v:textbox>
                </v:rect>
                <v:rect id="Rectangle 7" o:spid="_x0000_s1069" style="position:absolute;left:5682;top:13881;width:2110;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o8EA&#10;AADbAAAADwAAAGRycy9kb3ducmV2LnhtbERPz2vCMBS+C/sfwhvsIjN1B5FqlDIm29CDbb3s9mie&#10;TbF5KU1W639vDoLHj+/3ejvaVgzU+8axgvksAUFcOd1wreBU7t6XIHxA1tg6JgU38rDdvEzWmGp3&#10;5ZyGItQihrBPUYEJoUul9JUhi37mOuLInV1vMUTY11L3eI3htpUfSbKQFhuODQY7+jRUXYp/q+DP&#10;HdxXltB3Z8rfMEyzfH8scqXeXsdsBSLQGJ7ih/tHK1jEs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ivqPBAAAA2wAAAA8AAAAAAAAAAAAAAAAAmAIAAGRycy9kb3du&#10;cmV2LnhtbFBLBQYAAAAABAAEAPUAAACGAwAAAAA=&#10;">
                  <v:textbox>
                    <w:txbxContent>
                      <w:p w:rsidR="00806FB8" w:rsidRDefault="00806FB8" w:rsidP="00806FB8">
                        <w:pPr>
                          <w:jc w:val="center"/>
                        </w:pPr>
                        <w:r>
                          <w:t xml:space="preserve">Valeur des affaires futures </w:t>
                        </w:r>
                        <w:proofErr w:type="gramStart"/>
                        <w:r>
                          <w:t>( goodwill</w:t>
                        </w:r>
                        <w:proofErr w:type="gramEnd"/>
                        <w:r>
                          <w:t>)</w:t>
                        </w:r>
                      </w:p>
                    </w:txbxContent>
                  </v:textbox>
                </v:rect>
                <v:shape id="AutoShape 8" o:spid="_x0000_s1070" type="#_x0000_t88" style="position:absolute;left:8110;top:11152;width:301;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OgMUA&#10;AADbAAAADwAAAGRycy9kb3ducmV2LnhtbESPQWsCMRSE7wX/Q3iF3mq2LYhujaKWQqmWohXE23Pz&#10;3CxuXpYkddd/b4RCj8PMfMOMp52txZl8qBwreOpnIIgLpysuFWx/3h+HIEJE1lg7JgUXCjCd9O7G&#10;mGvX8prOm1iKBOGQowITY5NLGQpDFkPfNcTJOzpvMSbpS6k9tglua/mcZQNpseK0YLChhaHitPm1&#10;Co578+I+V2/Lg/W7r209n30f2lKph/tu9goiUhf/w3/tD61gMIL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I6AxQAAANsAAAAPAAAAAAAAAAAAAAAAAJgCAABkcnMv&#10;ZG93bnJldi54bWxQSwUGAAAAAAQABAD1AAAAigMAAAAA&#10;"/>
                <v:rect id="Rectangle 9" o:spid="_x0000_s1071" style="position:absolute;left:8835;top:11353;width:2110;height:3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0keMIA&#10;AADbAAAADwAAAGRycy9kb3ducmV2LnhtbERPz2vCMBS+D/wfwhN2GZpuBx21qRRxbDIPa/Xi7dE8&#10;m2LzUpqsdv/9chjs+PH9zraT7cRIg28dK3heJiCIa6dbbhScT2+LVxA+IGvsHJOCH/KwzWcPGaba&#10;3bmksQqNiCHsU1RgQuhTKX1tyKJfup44clc3WAwRDo3UA95juO3kS5KspMWWY4PBnnaG6lv1bRVc&#10;3NHti4Tee3M6hPGpKD+/qlKpx/lUbEAEmsK/+M/9oRWs4/r4Jf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SR4wgAAANsAAAAPAAAAAAAAAAAAAAAAAJgCAABkcnMvZG93&#10;bnJldi54bWxQSwUGAAAAAAQABAD1AAAAhwMAAAAA&#10;">
                  <v:textbox>
                    <w:txbxContent>
                      <w:p w:rsidR="00806FB8" w:rsidRDefault="00806FB8" w:rsidP="00806FB8">
                        <w:pPr>
                          <w:jc w:val="center"/>
                        </w:pPr>
                        <w:r>
                          <w:t>Valeur de la société (</w:t>
                        </w:r>
                        <w:proofErr w:type="spellStart"/>
                        <w:r>
                          <w:t>appraisal</w:t>
                        </w:r>
                        <w:proofErr w:type="spellEnd"/>
                        <w:r>
                          <w:t xml:space="preserve"> value)</w:t>
                        </w:r>
                      </w:p>
                    </w:txbxContent>
                  </v:textbox>
                </v:rect>
              </v:group>
            </w:pict>
          </mc:Fallback>
        </mc:AlternateContent>
      </w:r>
    </w:p>
    <w:p w:rsidR="00806FB8" w:rsidRPr="00A83B39" w:rsidRDefault="00806FB8" w:rsidP="00806FB8">
      <w:pPr>
        <w:autoSpaceDE w:val="0"/>
        <w:autoSpaceDN w:val="0"/>
        <w:adjustRightInd w:val="0"/>
        <w:jc w:val="center"/>
        <w:rPr>
          <w:rFonts w:ascii="ArialMT" w:hAnsi="ArialMT" w:cs="ArialMT"/>
          <w:color w:val="33339B"/>
          <w:szCs w:val="22"/>
        </w:rPr>
      </w:pPr>
    </w:p>
    <w:p w:rsidR="00806FB8" w:rsidRPr="00A83B39" w:rsidRDefault="00806FB8" w:rsidP="00806FB8">
      <w:pPr>
        <w:autoSpaceDE w:val="0"/>
        <w:autoSpaceDN w:val="0"/>
        <w:adjustRightInd w:val="0"/>
        <w:jc w:val="center"/>
        <w:rPr>
          <w:rFonts w:ascii="ArialMT" w:hAnsi="ArialMT" w:cs="ArialMT"/>
          <w:color w:val="33339B"/>
          <w:szCs w:val="22"/>
        </w:rPr>
      </w:pPr>
    </w:p>
    <w:p w:rsidR="00806FB8" w:rsidRPr="00A83B39" w:rsidRDefault="00806FB8" w:rsidP="00806FB8">
      <w:pPr>
        <w:autoSpaceDE w:val="0"/>
        <w:autoSpaceDN w:val="0"/>
        <w:adjustRightInd w:val="0"/>
        <w:jc w:val="center"/>
        <w:rPr>
          <w:rFonts w:ascii="ArialMT" w:hAnsi="ArialMT" w:cs="ArialMT"/>
          <w:color w:val="33339B"/>
          <w:szCs w:val="22"/>
        </w:rPr>
      </w:pPr>
    </w:p>
    <w:p w:rsidR="00806FB8" w:rsidRPr="00A83B39" w:rsidRDefault="00806FB8" w:rsidP="00806FB8">
      <w:pPr>
        <w:autoSpaceDE w:val="0"/>
        <w:autoSpaceDN w:val="0"/>
        <w:adjustRightInd w:val="0"/>
        <w:jc w:val="center"/>
        <w:rPr>
          <w:rFonts w:ascii="ArialMT" w:hAnsi="ArialMT" w:cs="ArialMT"/>
          <w:color w:val="33339B"/>
          <w:szCs w:val="22"/>
        </w:rPr>
      </w:pPr>
    </w:p>
    <w:p w:rsidR="00806FB8" w:rsidRPr="00A83B39" w:rsidRDefault="00806FB8" w:rsidP="00806FB8">
      <w:pPr>
        <w:autoSpaceDE w:val="0"/>
        <w:autoSpaceDN w:val="0"/>
        <w:adjustRightInd w:val="0"/>
        <w:jc w:val="center"/>
        <w:rPr>
          <w:rFonts w:ascii="ArialMT" w:hAnsi="ArialMT" w:cs="ArialMT"/>
          <w:color w:val="33339B"/>
          <w:szCs w:val="22"/>
        </w:rPr>
      </w:pPr>
    </w:p>
    <w:p w:rsidR="00806FB8" w:rsidRPr="00A83B39" w:rsidRDefault="00806FB8" w:rsidP="00806FB8">
      <w:pPr>
        <w:autoSpaceDE w:val="0"/>
        <w:autoSpaceDN w:val="0"/>
        <w:adjustRightInd w:val="0"/>
        <w:jc w:val="left"/>
        <w:rPr>
          <w:rFonts w:ascii="ArialMT" w:hAnsi="ArialMT" w:cs="ArialMT"/>
          <w:color w:val="33339B"/>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calcul de l’Embedded value et de la valeur de l’entreprise est réalisé en général une fois par an. Il s’accompagne :</w:t>
      </w:r>
    </w:p>
    <w:p w:rsidR="00806FB8" w:rsidRPr="00A83B39" w:rsidRDefault="00806FB8" w:rsidP="00806FB8">
      <w:pPr>
        <w:autoSpaceDE w:val="0"/>
        <w:autoSpaceDN w:val="0"/>
        <w:adjustRightInd w:val="0"/>
        <w:rPr>
          <w:sz w:val="24"/>
          <w:szCs w:val="24"/>
        </w:rPr>
      </w:pPr>
      <w:r w:rsidRPr="00A83B39">
        <w:rPr>
          <w:sz w:val="24"/>
          <w:szCs w:val="24"/>
        </w:rPr>
        <w:t>•d’une analyse de la variation de l’Embedded value depuis le dernier calcul qui permettra de comprendre la variation de la valeur de l’entreprise ;</w:t>
      </w:r>
    </w:p>
    <w:p w:rsidR="00806FB8" w:rsidRPr="00A83B39" w:rsidRDefault="00806FB8" w:rsidP="00806FB8">
      <w:pPr>
        <w:autoSpaceDE w:val="0"/>
        <w:autoSpaceDN w:val="0"/>
        <w:adjustRightInd w:val="0"/>
        <w:rPr>
          <w:sz w:val="24"/>
          <w:szCs w:val="24"/>
        </w:rPr>
      </w:pPr>
      <w:r w:rsidRPr="00A83B39">
        <w:rPr>
          <w:sz w:val="24"/>
          <w:szCs w:val="24"/>
        </w:rPr>
        <w:t>•d’une analyse de la sensibilité de l’Embedded value aux différentes hypothèses.</w:t>
      </w:r>
    </w:p>
    <w:p w:rsidR="00806FB8" w:rsidRPr="00A83B39" w:rsidRDefault="00806FB8" w:rsidP="00806FB8">
      <w:pPr>
        <w:jc w:val="left"/>
        <w:rPr>
          <w:rFonts w:ascii="ArialMT" w:hAnsi="ArialMT" w:cs="ArialMT"/>
          <w:szCs w:val="22"/>
        </w:rPr>
      </w:pPr>
      <w:r w:rsidRPr="00A83B39">
        <w:rPr>
          <w:rFonts w:ascii="ArialMT" w:hAnsi="ArialMT" w:cs="ArialMT"/>
          <w:szCs w:val="22"/>
        </w:rPr>
        <w:br w:type="page"/>
      </w:r>
    </w:p>
    <w:p w:rsidR="00806FB8" w:rsidRPr="00A83B39" w:rsidRDefault="00806FB8" w:rsidP="00806FB8">
      <w:pPr>
        <w:pStyle w:val="ListParagraph"/>
        <w:numPr>
          <w:ilvl w:val="0"/>
          <w:numId w:val="36"/>
        </w:numPr>
        <w:ind w:left="357" w:hanging="357"/>
        <w:contextualSpacing w:val="0"/>
        <w:outlineLvl w:val="1"/>
        <w:rPr>
          <w:rFonts w:ascii="ArialMT" w:hAnsi="ArialMT" w:cs="ArialMT"/>
          <w:color w:val="000000"/>
          <w:szCs w:val="22"/>
        </w:rPr>
      </w:pPr>
      <w:bookmarkStart w:id="77" w:name="_Toc351126791"/>
      <w:r w:rsidRPr="00A83B39">
        <w:rPr>
          <w:rFonts w:ascii="ArialMT" w:hAnsi="ArialMT" w:cs="ArialMT"/>
          <w:color w:val="000000"/>
          <w:szCs w:val="22"/>
        </w:rPr>
        <w:lastRenderedPageBreak/>
        <w:t>Élaboration des budgets et des plans</w:t>
      </w:r>
      <w:bookmarkEnd w:id="77"/>
    </w:p>
    <w:p w:rsidR="00806FB8" w:rsidRPr="00A83B39" w:rsidRDefault="00806FB8" w:rsidP="00806FB8">
      <w:pPr>
        <w:autoSpaceDE w:val="0"/>
        <w:autoSpaceDN w:val="0"/>
        <w:adjustRightInd w:val="0"/>
        <w:jc w:val="left"/>
        <w:rPr>
          <w:rFonts w:ascii="ArialMT" w:hAnsi="ArialMT" w:cs="ArialMT"/>
          <w:color w:val="000000"/>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b/>
          <w:bCs/>
          <w:sz w:val="24"/>
          <w:szCs w:val="24"/>
        </w:rPr>
        <w:t xml:space="preserve">démarche prévisionnelle </w:t>
      </w:r>
      <w:r w:rsidRPr="00A83B39">
        <w:rPr>
          <w:sz w:val="24"/>
          <w:szCs w:val="24"/>
        </w:rPr>
        <w:t>repose sur trois types de planification :</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•le </w:t>
      </w:r>
      <w:r w:rsidRPr="00A83B39">
        <w:rPr>
          <w:b/>
          <w:bCs/>
          <w:sz w:val="24"/>
          <w:szCs w:val="24"/>
        </w:rPr>
        <w:t xml:space="preserve">budget </w:t>
      </w:r>
      <w:r w:rsidRPr="00A83B39">
        <w:rPr>
          <w:sz w:val="24"/>
          <w:szCs w:val="24"/>
        </w:rPr>
        <w:t>qui est une planification avec un horizon court (1 an)</w:t>
      </w:r>
    </w:p>
    <w:p w:rsidR="00806FB8" w:rsidRPr="00A83B39" w:rsidRDefault="00806FB8" w:rsidP="00806FB8">
      <w:pPr>
        <w:autoSpaceDE w:val="0"/>
        <w:autoSpaceDN w:val="0"/>
        <w:adjustRightInd w:val="0"/>
        <w:rPr>
          <w:sz w:val="24"/>
          <w:szCs w:val="24"/>
        </w:rPr>
      </w:pPr>
      <w:r w:rsidRPr="00A83B39">
        <w:rPr>
          <w:sz w:val="24"/>
          <w:szCs w:val="24"/>
        </w:rPr>
        <w:t xml:space="preserve">•le </w:t>
      </w:r>
      <w:r w:rsidRPr="00A83B39">
        <w:rPr>
          <w:b/>
          <w:bCs/>
          <w:sz w:val="24"/>
          <w:szCs w:val="24"/>
        </w:rPr>
        <w:t xml:space="preserve">plan opérationnel </w:t>
      </w:r>
      <w:r w:rsidRPr="00A83B39">
        <w:rPr>
          <w:sz w:val="24"/>
          <w:szCs w:val="24"/>
        </w:rPr>
        <w:t>qui est une planification à moyen terme (de l’ordre de 3 à 5 ans en général). On peut parler aussi de business plan.</w:t>
      </w:r>
    </w:p>
    <w:p w:rsidR="00806FB8" w:rsidRPr="00A83B39" w:rsidRDefault="00806FB8" w:rsidP="00806FB8">
      <w:pPr>
        <w:autoSpaceDE w:val="0"/>
        <w:autoSpaceDN w:val="0"/>
        <w:adjustRightInd w:val="0"/>
        <w:rPr>
          <w:sz w:val="24"/>
          <w:szCs w:val="24"/>
        </w:rPr>
      </w:pPr>
      <w:r w:rsidRPr="00A83B39">
        <w:rPr>
          <w:sz w:val="24"/>
          <w:szCs w:val="24"/>
        </w:rPr>
        <w:t xml:space="preserve">•le plan opérationnel découle </w:t>
      </w:r>
      <w:proofErr w:type="spellStart"/>
      <w:r w:rsidRPr="00A83B39">
        <w:rPr>
          <w:sz w:val="24"/>
          <w:szCs w:val="24"/>
        </w:rPr>
        <w:t>lui même</w:t>
      </w:r>
      <w:proofErr w:type="spellEnd"/>
      <w:r w:rsidRPr="00A83B39">
        <w:rPr>
          <w:sz w:val="24"/>
          <w:szCs w:val="24"/>
        </w:rPr>
        <w:t xml:space="preserve"> du </w:t>
      </w:r>
      <w:r w:rsidRPr="00A83B39">
        <w:rPr>
          <w:b/>
          <w:bCs/>
          <w:sz w:val="24"/>
          <w:szCs w:val="24"/>
        </w:rPr>
        <w:t xml:space="preserve">plan stratégique </w:t>
      </w:r>
      <w:r w:rsidRPr="00A83B39">
        <w:rPr>
          <w:sz w:val="24"/>
          <w:szCs w:val="24"/>
        </w:rPr>
        <w:t>(dont l’horizon peut être plus long) qui est la stratégie de l’entreprise ainsi que les objectifs principaux associés à atteindre à moyen terme.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budget est l’année numéro un du plan opérationnel, il en fait donc parti. Le budget sera en général beaucoup plus détaillé que les autres années du plan opérationnel.</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Dans la pratique le budget peut être réalisé soit après le plan opérationnel, soit en même temps.</w:t>
      </w:r>
    </w:p>
    <w:p w:rsidR="00806FB8" w:rsidRPr="00A83B39" w:rsidRDefault="00806FB8" w:rsidP="00806FB8">
      <w:pPr>
        <w:autoSpaceDE w:val="0"/>
        <w:autoSpaceDN w:val="0"/>
        <w:adjustRightInd w:val="0"/>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r>
        <w:rPr>
          <w:rFonts w:ascii="ArialMT" w:hAnsi="ArialMT" w:cs="ArialMT"/>
          <w:noProof/>
          <w:szCs w:val="22"/>
        </w:rPr>
        <mc:AlternateContent>
          <mc:Choice Requires="wpg">
            <w:drawing>
              <wp:anchor distT="0" distB="0" distL="114300" distR="114300" simplePos="0" relativeHeight="251661824" behindDoc="0" locked="0" layoutInCell="1" allowOverlap="1">
                <wp:simplePos x="0" y="0"/>
                <wp:positionH relativeFrom="column">
                  <wp:posOffset>503555</wp:posOffset>
                </wp:positionH>
                <wp:positionV relativeFrom="paragraph">
                  <wp:posOffset>100965</wp:posOffset>
                </wp:positionV>
                <wp:extent cx="4993640" cy="531495"/>
                <wp:effectExtent l="12700" t="9525" r="13335" b="1143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3640" cy="531495"/>
                          <a:chOff x="2210" y="5877"/>
                          <a:chExt cx="7864" cy="837"/>
                        </a:xfrm>
                      </wpg:grpSpPr>
                      <wps:wsp>
                        <wps:cNvPr id="58" name="Rectangle 11"/>
                        <wps:cNvSpPr>
                          <a:spLocks noChangeArrowheads="1"/>
                        </wps:cNvSpPr>
                        <wps:spPr bwMode="auto">
                          <a:xfrm>
                            <a:off x="2210" y="5877"/>
                            <a:ext cx="2160" cy="837"/>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Plan stratégique</w:t>
                              </w:r>
                            </w:p>
                          </w:txbxContent>
                        </wps:txbx>
                        <wps:bodyPr rot="0" vert="horz" wrap="square" lIns="91440" tIns="45720" rIns="91440" bIns="45720" anchor="ctr" anchorCtr="0" upright="1">
                          <a:noAutofit/>
                        </wps:bodyPr>
                      </wps:wsp>
                      <wps:wsp>
                        <wps:cNvPr id="59" name="Rectangle 12"/>
                        <wps:cNvSpPr>
                          <a:spLocks noChangeArrowheads="1"/>
                        </wps:cNvSpPr>
                        <wps:spPr bwMode="auto">
                          <a:xfrm>
                            <a:off x="5062" y="5877"/>
                            <a:ext cx="2160" cy="837"/>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Plan opérationnel</w:t>
                              </w:r>
                            </w:p>
                          </w:txbxContent>
                        </wps:txbx>
                        <wps:bodyPr rot="0" vert="horz" wrap="square" lIns="91440" tIns="45720" rIns="91440" bIns="45720" anchor="ctr" anchorCtr="0" upright="1">
                          <a:noAutofit/>
                        </wps:bodyPr>
                      </wps:wsp>
                      <wps:wsp>
                        <wps:cNvPr id="60" name="Rectangle 13"/>
                        <wps:cNvSpPr>
                          <a:spLocks noChangeArrowheads="1"/>
                        </wps:cNvSpPr>
                        <wps:spPr bwMode="auto">
                          <a:xfrm>
                            <a:off x="7914" y="5877"/>
                            <a:ext cx="2160" cy="837"/>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Budget</w:t>
                              </w:r>
                            </w:p>
                          </w:txbxContent>
                        </wps:txbx>
                        <wps:bodyPr rot="0" vert="horz" wrap="square" lIns="91440" tIns="45720" rIns="91440" bIns="45720" anchor="ctr" anchorCtr="0" upright="1">
                          <a:noAutofit/>
                        </wps:bodyPr>
                      </wps:wsp>
                      <wps:wsp>
                        <wps:cNvPr id="61" name="AutoShape 14"/>
                        <wps:cNvCnPr>
                          <a:cxnSpLocks noChangeShapeType="1"/>
                        </wps:cNvCnPr>
                        <wps:spPr bwMode="auto">
                          <a:xfrm>
                            <a:off x="4370" y="6279"/>
                            <a:ext cx="692" cy="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5"/>
                        <wps:cNvCnPr>
                          <a:cxnSpLocks noChangeShapeType="1"/>
                        </wps:cNvCnPr>
                        <wps:spPr bwMode="auto">
                          <a:xfrm>
                            <a:off x="7222" y="6296"/>
                            <a:ext cx="692" cy="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72" style="position:absolute;margin-left:39.65pt;margin-top:7.95pt;width:393.2pt;height:41.85pt;z-index:251661824" coordorigin="2210,5877" coordsize="786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">
                <v:rect id="Rectangle 11" o:spid="_x0000_s1073" style="position:absolute;left:2210;top:5877;width:2160;height: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0HsIA&#10;AADbAAAADwAAAGRycy9kb3ducmV2LnhtbERPz2vCMBS+D/wfwhN2GZpuoI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nQewgAAANsAAAAPAAAAAAAAAAAAAAAAAJgCAABkcnMvZG93&#10;bnJldi54bWxQSwUGAAAAAAQABAD1AAAAhwMAAAAA&#10;">
                  <v:textbox>
                    <w:txbxContent>
                      <w:p w:rsidR="00806FB8" w:rsidRDefault="00806FB8" w:rsidP="00806FB8">
                        <w:pPr>
                          <w:jc w:val="center"/>
                        </w:pPr>
                        <w:r>
                          <w:t>Plan stratégique</w:t>
                        </w:r>
                      </w:p>
                    </w:txbxContent>
                  </v:textbox>
                </v:rect>
                <v:rect id="Rectangle 12" o:spid="_x0000_s1074" style="position:absolute;left:5062;top:5877;width:2160;height: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RhcUA&#10;AADbAAAADwAAAGRycy9kb3ducmV2LnhtbESPQWvCQBSE70L/w/IKvUjdtKC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tGFxQAAANsAAAAPAAAAAAAAAAAAAAAAAJgCAABkcnMv&#10;ZG93bnJldi54bWxQSwUGAAAAAAQABAD1AAAAigMAAAAA&#10;">
                  <v:textbox>
                    <w:txbxContent>
                      <w:p w:rsidR="00806FB8" w:rsidRDefault="00806FB8" w:rsidP="00806FB8">
                        <w:pPr>
                          <w:jc w:val="center"/>
                        </w:pPr>
                        <w:r>
                          <w:t>Plan opérationnel</w:t>
                        </w:r>
                      </w:p>
                    </w:txbxContent>
                  </v:textbox>
                </v:rect>
                <v:rect id="Rectangle 13" o:spid="_x0000_s1075" style="position:absolute;left:7914;top:5877;width:2160;height: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ypcEA&#10;AADbAAAADwAAAGRycy9kb3ducmV2LnhtbERPz2vCMBS+C/sfwhvsIjN1B5FqlDIm29CDbb3s9mie&#10;TbF5KU1W639vDoLHj+/3ejvaVgzU+8axgvksAUFcOd1wreBU7t6XIHxA1tg6JgU38rDdvEzWmGp3&#10;5ZyGItQihrBPUYEJoUul9JUhi37mOuLInV1vMUTY11L3eI3htpUfSbKQFhuODQY7+jRUXYp/q+DP&#10;HdxXltB3Z8rfMEyzfH8scqXeXsdsBSLQGJ7ih/tHK1jE9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UsqXBAAAA2wAAAA8AAAAAAAAAAAAAAAAAmAIAAGRycy9kb3du&#10;cmV2LnhtbFBLBQYAAAAABAAEAPUAAACGAwAAAAA=&#10;">
                  <v:textbox>
                    <w:txbxContent>
                      <w:p w:rsidR="00806FB8" w:rsidRDefault="00806FB8" w:rsidP="00806FB8">
                        <w:pPr>
                          <w:jc w:val="center"/>
                        </w:pPr>
                        <w:r>
                          <w:t>Budget</w:t>
                        </w:r>
                      </w:p>
                    </w:txbxContent>
                  </v:textbox>
                </v:rect>
                <v:shape id="AutoShape 14" o:spid="_x0000_s1076" type="#_x0000_t32" style="position:absolute;left:4370;top:6279;width:69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15" o:spid="_x0000_s1077" type="#_x0000_t32" style="position:absolute;left:7222;top:6296;width:69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group>
            </w:pict>
          </mc:Fallback>
        </mc:AlternateContent>
      </w: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autoSpaceDE w:val="0"/>
        <w:autoSpaceDN w:val="0"/>
        <w:adjustRightInd w:val="0"/>
        <w:rPr>
          <w:b/>
          <w:bCs/>
          <w:sz w:val="24"/>
          <w:szCs w:val="24"/>
        </w:rPr>
      </w:pPr>
      <w:r w:rsidRPr="00A83B39">
        <w:rPr>
          <w:b/>
          <w:bCs/>
          <w:sz w:val="24"/>
          <w:szCs w:val="24"/>
        </w:rPr>
        <w:t>La démarche prévisionnelle permet de clarifier la stratégie de l’entreprise et définir les plans d’actions.</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sz w:val="24"/>
          <w:szCs w:val="24"/>
        </w:rPr>
      </w:pPr>
      <w:r w:rsidRPr="00A83B39">
        <w:rPr>
          <w:sz w:val="24"/>
          <w:szCs w:val="24"/>
        </w:rPr>
        <w:t>L’un des objectifs du plan est également d’établir des comptes de résultat et des bilans prévisionnels. C’est l’occasion de valider si la stratégie et les plans d’actions qui en découlent permettent d’atteindre la performance financière que la direction a fixée.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Cela permet en outre :</w:t>
      </w:r>
    </w:p>
    <w:p w:rsidR="00806FB8" w:rsidRPr="00A83B39" w:rsidRDefault="00806FB8" w:rsidP="00806FB8">
      <w:pPr>
        <w:autoSpaceDE w:val="0"/>
        <w:autoSpaceDN w:val="0"/>
        <w:adjustRightInd w:val="0"/>
        <w:rPr>
          <w:sz w:val="24"/>
          <w:szCs w:val="24"/>
        </w:rPr>
      </w:pPr>
      <w:r w:rsidRPr="00A83B39">
        <w:rPr>
          <w:sz w:val="24"/>
          <w:szCs w:val="24"/>
        </w:rPr>
        <w:t>•d’estimer les besoin en termes de marge de solvabilité pour les années à venir ;</w:t>
      </w:r>
    </w:p>
    <w:p w:rsidR="00806FB8" w:rsidRPr="00A83B39" w:rsidRDefault="00806FB8" w:rsidP="00806FB8">
      <w:pPr>
        <w:autoSpaceDE w:val="0"/>
        <w:autoSpaceDN w:val="0"/>
        <w:adjustRightInd w:val="0"/>
        <w:rPr>
          <w:sz w:val="24"/>
          <w:szCs w:val="24"/>
        </w:rPr>
      </w:pPr>
      <w:r w:rsidRPr="00A83B39">
        <w:rPr>
          <w:sz w:val="24"/>
          <w:szCs w:val="24"/>
        </w:rPr>
        <w:t>•d’analyser la sensibilité du résultat aux différentes hypothèses retenues ;</w:t>
      </w:r>
    </w:p>
    <w:p w:rsidR="00806FB8" w:rsidRPr="00A83B39" w:rsidRDefault="00806FB8" w:rsidP="00806FB8">
      <w:pPr>
        <w:autoSpaceDE w:val="0"/>
        <w:autoSpaceDN w:val="0"/>
        <w:adjustRightInd w:val="0"/>
        <w:rPr>
          <w:rFonts w:ascii="ArialMT" w:hAnsi="ArialMT" w:cs="ArialMT"/>
          <w:szCs w:val="22"/>
        </w:rPr>
      </w:pPr>
    </w:p>
    <w:p w:rsidR="00806FB8" w:rsidRPr="00A83B39" w:rsidRDefault="00806FB8" w:rsidP="00806FB8">
      <w:pPr>
        <w:autoSpaceDE w:val="0"/>
        <w:autoSpaceDN w:val="0"/>
        <w:adjustRightInd w:val="0"/>
        <w:jc w:val="left"/>
        <w:rPr>
          <w:rFonts w:ascii="ArialMT" w:hAnsi="ArialMT" w:cs="ArialMT"/>
          <w:szCs w:val="22"/>
        </w:rPr>
      </w:pPr>
    </w:p>
    <w:p w:rsidR="00806FB8" w:rsidRPr="00A83B39" w:rsidRDefault="00806FB8" w:rsidP="00806FB8">
      <w:pPr>
        <w:pStyle w:val="ListParagraph"/>
        <w:numPr>
          <w:ilvl w:val="1"/>
          <w:numId w:val="36"/>
        </w:numPr>
        <w:ind w:left="788" w:hanging="431"/>
        <w:contextualSpacing w:val="0"/>
        <w:outlineLvl w:val="2"/>
        <w:rPr>
          <w:color w:val="000000"/>
          <w:sz w:val="24"/>
          <w:szCs w:val="24"/>
        </w:rPr>
      </w:pPr>
      <w:bookmarkStart w:id="78" w:name="_Toc351126792"/>
      <w:r w:rsidRPr="00A83B39">
        <w:rPr>
          <w:color w:val="000000"/>
          <w:sz w:val="24"/>
          <w:szCs w:val="24"/>
        </w:rPr>
        <w:t>Processus d’élaboration</w:t>
      </w:r>
      <w:bookmarkEnd w:id="78"/>
    </w:p>
    <w:p w:rsidR="00806FB8" w:rsidRPr="00A83B39" w:rsidRDefault="00806FB8" w:rsidP="00806FB8">
      <w:pPr>
        <w:autoSpaceDE w:val="0"/>
        <w:autoSpaceDN w:val="0"/>
        <w:adjustRightInd w:val="0"/>
        <w:jc w:val="left"/>
        <w:rPr>
          <w:b/>
          <w:bCs/>
          <w:color w:val="000081"/>
          <w:sz w:val="24"/>
          <w:szCs w:val="24"/>
        </w:rPr>
      </w:pPr>
    </w:p>
    <w:p w:rsidR="00806FB8" w:rsidRPr="00A83B39" w:rsidRDefault="00806FB8" w:rsidP="00806FB8">
      <w:pPr>
        <w:autoSpaceDE w:val="0"/>
        <w:autoSpaceDN w:val="0"/>
        <w:adjustRightInd w:val="0"/>
        <w:rPr>
          <w:color w:val="000000"/>
          <w:sz w:val="24"/>
          <w:szCs w:val="24"/>
        </w:rPr>
      </w:pPr>
      <w:r w:rsidRPr="00A83B39">
        <w:rPr>
          <w:color w:val="000000"/>
          <w:sz w:val="24"/>
          <w:szCs w:val="24"/>
        </w:rPr>
        <w:t>Le plan et le budget sont les traductions les plus objectives possibles des décisions découlant de la stratégie définie par la direction générale de l’entreprise. L’élaboration du plan et du budget repose sur une organisation en plusieurs niveaux.</w:t>
      </w: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p>
    <w:p w:rsidR="00806FB8" w:rsidRPr="00A83B39" w:rsidRDefault="00806FB8" w:rsidP="00806FB8">
      <w:pPr>
        <w:pStyle w:val="ListParagraph"/>
        <w:numPr>
          <w:ilvl w:val="2"/>
          <w:numId w:val="36"/>
        </w:numPr>
        <w:autoSpaceDE w:val="0"/>
        <w:autoSpaceDN w:val="0"/>
        <w:adjustRightInd w:val="0"/>
        <w:ind w:left="1225" w:hanging="505"/>
        <w:jc w:val="left"/>
        <w:outlineLvl w:val="3"/>
        <w:rPr>
          <w:color w:val="000000"/>
          <w:sz w:val="24"/>
          <w:szCs w:val="24"/>
        </w:rPr>
      </w:pPr>
      <w:bookmarkStart w:id="79" w:name="_Toc351126793"/>
      <w:r w:rsidRPr="00A83B39">
        <w:rPr>
          <w:color w:val="000000"/>
          <w:sz w:val="24"/>
          <w:szCs w:val="24"/>
        </w:rPr>
        <w:t>Les acteurs du plan</w:t>
      </w:r>
      <w:bookmarkEnd w:id="79"/>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rPr>
          <w:b/>
          <w:bCs/>
          <w:sz w:val="24"/>
          <w:szCs w:val="24"/>
        </w:rPr>
      </w:pPr>
      <w:r w:rsidRPr="00A83B39">
        <w:rPr>
          <w:sz w:val="24"/>
          <w:szCs w:val="24"/>
        </w:rPr>
        <w:t xml:space="preserve">• </w:t>
      </w:r>
      <w:r w:rsidRPr="00A83B39">
        <w:rPr>
          <w:b/>
          <w:bCs/>
          <w:sz w:val="24"/>
          <w:szCs w:val="24"/>
        </w:rPr>
        <w:t>La direction générale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La </w:t>
      </w:r>
      <w:r w:rsidRPr="00A83B39">
        <w:rPr>
          <w:b/>
          <w:bCs/>
          <w:sz w:val="24"/>
          <w:szCs w:val="24"/>
        </w:rPr>
        <w:t xml:space="preserve">direction générale </w:t>
      </w:r>
      <w:r w:rsidRPr="00A83B39">
        <w:rPr>
          <w:bCs/>
          <w:sz w:val="24"/>
          <w:szCs w:val="24"/>
        </w:rPr>
        <w:t xml:space="preserve">élabore </w:t>
      </w:r>
      <w:r w:rsidRPr="00A83B39">
        <w:rPr>
          <w:sz w:val="24"/>
          <w:szCs w:val="24"/>
        </w:rPr>
        <w:t xml:space="preserve">le </w:t>
      </w:r>
      <w:r w:rsidRPr="00A83B39">
        <w:rPr>
          <w:b/>
          <w:bCs/>
          <w:sz w:val="24"/>
          <w:szCs w:val="24"/>
        </w:rPr>
        <w:t>plan stratégique</w:t>
      </w:r>
      <w:r w:rsidRPr="00A83B39">
        <w:rPr>
          <w:sz w:val="24"/>
          <w:szCs w:val="24"/>
        </w:rPr>
        <w:t>. La stratégie est élaborée sur la base d’une analyse des forces et faiblesses de l’entreprise, ainsi que de ses menaces et de ses opportunités. Ce diagnostic intègre donc une analyse de la concurrence et de l’environnement. Dans le contexte actuel de l’assurance les plans stratégiques vont par exemple intégrer l’impact de l’évolution des contraintes réglementaires.</w:t>
      </w:r>
    </w:p>
    <w:p w:rsidR="00806FB8" w:rsidRPr="00A83B39" w:rsidRDefault="00806FB8" w:rsidP="00806FB8">
      <w:pPr>
        <w:autoSpaceDE w:val="0"/>
        <w:autoSpaceDN w:val="0"/>
        <w:adjustRightInd w:val="0"/>
        <w:rPr>
          <w:sz w:val="24"/>
          <w:szCs w:val="24"/>
        </w:rPr>
      </w:pPr>
      <w:r w:rsidRPr="00A83B39">
        <w:rPr>
          <w:sz w:val="24"/>
          <w:szCs w:val="24"/>
        </w:rPr>
        <w:t>Si le contrôleur de gestion n’intervient pas dans la définition de la stratégie, il peut néanmoins être sollicité pour apporter une expertise au même titre que les services d’actuariat, ou les directions comptables et financières.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La direction va donc fixer les </w:t>
      </w:r>
      <w:r w:rsidRPr="00A83B39">
        <w:rPr>
          <w:b/>
          <w:bCs/>
          <w:sz w:val="24"/>
          <w:szCs w:val="24"/>
        </w:rPr>
        <w:t xml:space="preserve">grands objectifs </w:t>
      </w:r>
      <w:r w:rsidRPr="00A83B39">
        <w:rPr>
          <w:sz w:val="24"/>
          <w:szCs w:val="24"/>
        </w:rPr>
        <w:t>en matière de :</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Politique commerciale :</w:t>
      </w:r>
    </w:p>
    <w:p w:rsidR="00806FB8" w:rsidRPr="00A83B39" w:rsidRDefault="00806FB8" w:rsidP="00806FB8">
      <w:pPr>
        <w:autoSpaceDE w:val="0"/>
        <w:autoSpaceDN w:val="0"/>
        <w:adjustRightInd w:val="0"/>
        <w:rPr>
          <w:sz w:val="24"/>
          <w:szCs w:val="24"/>
        </w:rPr>
      </w:pPr>
      <w:r w:rsidRPr="00A83B39">
        <w:rPr>
          <w:sz w:val="24"/>
          <w:szCs w:val="24"/>
        </w:rPr>
        <w:t xml:space="preserve">•comment faire évoluer la gamme de produits ? Quels nouveaux produits lancer ? </w:t>
      </w:r>
      <w:proofErr w:type="spellStart"/>
      <w:r w:rsidRPr="00A83B39">
        <w:rPr>
          <w:sz w:val="24"/>
          <w:szCs w:val="24"/>
        </w:rPr>
        <w:t>Doit on</w:t>
      </w:r>
      <w:proofErr w:type="spellEnd"/>
      <w:r w:rsidRPr="00A83B39">
        <w:rPr>
          <w:sz w:val="24"/>
          <w:szCs w:val="24"/>
        </w:rPr>
        <w:t xml:space="preserve"> mettre en </w:t>
      </w:r>
      <w:proofErr w:type="spellStart"/>
      <w:r w:rsidRPr="00A83B39">
        <w:rPr>
          <w:sz w:val="24"/>
          <w:szCs w:val="24"/>
        </w:rPr>
        <w:t>run</w:t>
      </w:r>
      <w:proofErr w:type="spellEnd"/>
      <w:r w:rsidRPr="00A83B39">
        <w:rPr>
          <w:sz w:val="24"/>
          <w:szCs w:val="24"/>
        </w:rPr>
        <w:t>-off certains portefeuilles ?</w:t>
      </w:r>
    </w:p>
    <w:p w:rsidR="00806FB8" w:rsidRPr="00A83B39" w:rsidRDefault="00806FB8" w:rsidP="00806FB8">
      <w:pPr>
        <w:autoSpaceDE w:val="0"/>
        <w:autoSpaceDN w:val="0"/>
        <w:adjustRightInd w:val="0"/>
        <w:rPr>
          <w:sz w:val="24"/>
          <w:szCs w:val="24"/>
        </w:rPr>
      </w:pPr>
      <w:r w:rsidRPr="00A83B39">
        <w:rPr>
          <w:sz w:val="24"/>
          <w:szCs w:val="24"/>
        </w:rPr>
        <w:t>•quels objectifs de production viser ? Comment doit évoluer la part de marché ?</w:t>
      </w:r>
    </w:p>
    <w:p w:rsidR="00806FB8" w:rsidRPr="00A83B39" w:rsidRDefault="00806FB8" w:rsidP="00806FB8">
      <w:pPr>
        <w:autoSpaceDE w:val="0"/>
        <w:autoSpaceDN w:val="0"/>
        <w:adjustRightInd w:val="0"/>
        <w:rPr>
          <w:sz w:val="24"/>
          <w:szCs w:val="24"/>
        </w:rPr>
      </w:pPr>
      <w:r w:rsidRPr="00A83B39">
        <w:rPr>
          <w:sz w:val="24"/>
          <w:szCs w:val="24"/>
        </w:rPr>
        <w:t>•quels canaux de distribution privilégier, doit on chercher de nouveaux partenariats ?</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Objectifs financiers :</w:t>
      </w:r>
    </w:p>
    <w:p w:rsidR="00806FB8" w:rsidRPr="00A83B39" w:rsidRDefault="00806FB8" w:rsidP="00806FB8">
      <w:pPr>
        <w:autoSpaceDE w:val="0"/>
        <w:autoSpaceDN w:val="0"/>
        <w:adjustRightInd w:val="0"/>
        <w:rPr>
          <w:sz w:val="24"/>
          <w:szCs w:val="24"/>
        </w:rPr>
      </w:pPr>
      <w:r w:rsidRPr="00A83B39">
        <w:rPr>
          <w:sz w:val="24"/>
          <w:szCs w:val="24"/>
        </w:rPr>
        <w:t>•quel niveau de résultat et de rentabilité est attendu (ROE) ?</w:t>
      </w:r>
    </w:p>
    <w:p w:rsidR="00806FB8" w:rsidRPr="00A83B39" w:rsidRDefault="00806FB8" w:rsidP="00806FB8">
      <w:pPr>
        <w:autoSpaceDE w:val="0"/>
        <w:autoSpaceDN w:val="0"/>
        <w:adjustRightInd w:val="0"/>
        <w:rPr>
          <w:sz w:val="24"/>
          <w:szCs w:val="24"/>
        </w:rPr>
      </w:pPr>
      <w:r w:rsidRPr="00A83B39">
        <w:rPr>
          <w:sz w:val="24"/>
          <w:szCs w:val="24"/>
        </w:rPr>
        <w:t>•en IARD quel objectif de S/P et de ratio combiné viser, et en conséquence quelle sera la politique tarifaire à adopter ?</w:t>
      </w:r>
    </w:p>
    <w:p w:rsidR="00806FB8" w:rsidRPr="00A83B39" w:rsidRDefault="00806FB8" w:rsidP="00806FB8">
      <w:pPr>
        <w:autoSpaceDE w:val="0"/>
        <w:autoSpaceDN w:val="0"/>
        <w:adjustRightInd w:val="0"/>
        <w:rPr>
          <w:sz w:val="24"/>
          <w:szCs w:val="24"/>
        </w:rPr>
      </w:pPr>
      <w:r w:rsidRPr="00A83B39">
        <w:rPr>
          <w:sz w:val="24"/>
          <w:szCs w:val="24"/>
        </w:rPr>
        <w:t>•comment financer la croissance de l’activité?</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La direction doit fixer les principales </w:t>
      </w:r>
      <w:r w:rsidRPr="00A83B39">
        <w:rPr>
          <w:b/>
          <w:bCs/>
          <w:sz w:val="24"/>
          <w:szCs w:val="24"/>
        </w:rPr>
        <w:t xml:space="preserve">hypothèses de travail </w:t>
      </w:r>
      <w:r w:rsidRPr="00A83B39">
        <w:rPr>
          <w:sz w:val="24"/>
          <w:szCs w:val="24"/>
        </w:rPr>
        <w:t>:</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Environnement de marché :</w:t>
      </w:r>
    </w:p>
    <w:p w:rsidR="00806FB8" w:rsidRPr="00A83B39" w:rsidRDefault="00806FB8" w:rsidP="00806FB8">
      <w:pPr>
        <w:autoSpaceDE w:val="0"/>
        <w:autoSpaceDN w:val="0"/>
        <w:adjustRightInd w:val="0"/>
        <w:rPr>
          <w:sz w:val="24"/>
          <w:szCs w:val="24"/>
        </w:rPr>
      </w:pPr>
      <w:r w:rsidRPr="00A83B39">
        <w:rPr>
          <w:sz w:val="24"/>
          <w:szCs w:val="24"/>
        </w:rPr>
        <w:t>•quelle est la croissance attendue sur les marchés où l’entreprise est présente ou cherche à se développer ?</w:t>
      </w:r>
    </w:p>
    <w:p w:rsidR="00806FB8" w:rsidRPr="00A83B39" w:rsidRDefault="00806FB8" w:rsidP="00806FB8">
      <w:pPr>
        <w:autoSpaceDE w:val="0"/>
        <w:autoSpaceDN w:val="0"/>
        <w:adjustRightInd w:val="0"/>
        <w:rPr>
          <w:sz w:val="24"/>
          <w:szCs w:val="24"/>
        </w:rPr>
      </w:pPr>
      <w:r w:rsidRPr="00A83B39">
        <w:rPr>
          <w:sz w:val="24"/>
          <w:szCs w:val="24"/>
        </w:rPr>
        <w:t>•comment va évoluer la matière assurable (en automobile, en MRH,…) ;</w:t>
      </w:r>
    </w:p>
    <w:p w:rsidR="00806FB8" w:rsidRPr="00A83B39" w:rsidRDefault="00806FB8" w:rsidP="00806FB8">
      <w:pPr>
        <w:autoSpaceDE w:val="0"/>
        <w:autoSpaceDN w:val="0"/>
        <w:adjustRightInd w:val="0"/>
        <w:rPr>
          <w:sz w:val="24"/>
          <w:szCs w:val="24"/>
        </w:rPr>
      </w:pPr>
      <w:r w:rsidRPr="00A83B39">
        <w:rPr>
          <w:sz w:val="24"/>
          <w:szCs w:val="24"/>
        </w:rPr>
        <w:t>•quelle évolution des tarifs en assurance peut-on anticiper (environnement concurrentiel, nous situons nous dans un haut de cycle ou un bas de cycle?) ;</w:t>
      </w:r>
    </w:p>
    <w:p w:rsidR="00806FB8" w:rsidRPr="00A83B39" w:rsidRDefault="00806FB8" w:rsidP="00806FB8">
      <w:pPr>
        <w:autoSpaceDE w:val="0"/>
        <w:autoSpaceDN w:val="0"/>
        <w:adjustRightInd w:val="0"/>
        <w:rPr>
          <w:sz w:val="24"/>
          <w:szCs w:val="24"/>
        </w:rPr>
      </w:pPr>
      <w:r w:rsidRPr="00A83B39">
        <w:rPr>
          <w:sz w:val="24"/>
          <w:szCs w:val="24"/>
        </w:rPr>
        <w:t>•quel sera le coût de la réassurance ?;</w:t>
      </w:r>
    </w:p>
    <w:p w:rsidR="00806FB8" w:rsidRPr="00A83B39" w:rsidRDefault="00806FB8" w:rsidP="00806FB8">
      <w:pPr>
        <w:autoSpaceDE w:val="0"/>
        <w:autoSpaceDN w:val="0"/>
        <w:adjustRightInd w:val="0"/>
        <w:rPr>
          <w:sz w:val="24"/>
          <w:szCs w:val="24"/>
        </w:rPr>
      </w:pPr>
      <w:r w:rsidRPr="00A83B39">
        <w:rPr>
          <w:sz w:val="24"/>
          <w:szCs w:val="24"/>
        </w:rPr>
        <w:t>•quelle évolution attendue de la réglementation et quelle peut être son impact (par exemple réforme de la fiscalité en assurance vie).</w:t>
      </w:r>
    </w:p>
    <w:p w:rsidR="00806FB8" w:rsidRPr="00A83B39" w:rsidRDefault="00806FB8" w:rsidP="00806FB8">
      <w:pPr>
        <w:autoSpaceDE w:val="0"/>
        <w:autoSpaceDN w:val="0"/>
        <w:adjustRightInd w:val="0"/>
        <w:rPr>
          <w:b/>
          <w:bCs/>
          <w:sz w:val="24"/>
          <w:szCs w:val="24"/>
        </w:rPr>
      </w:pPr>
    </w:p>
    <w:p w:rsidR="00806FB8" w:rsidRPr="00A83B39" w:rsidRDefault="00806FB8" w:rsidP="00806FB8">
      <w:pPr>
        <w:autoSpaceDE w:val="0"/>
        <w:autoSpaceDN w:val="0"/>
        <w:adjustRightInd w:val="0"/>
        <w:rPr>
          <w:b/>
          <w:bCs/>
          <w:sz w:val="24"/>
          <w:szCs w:val="24"/>
        </w:rPr>
      </w:pPr>
      <w:r w:rsidRPr="00A83B39">
        <w:rPr>
          <w:b/>
          <w:bCs/>
          <w:sz w:val="24"/>
          <w:szCs w:val="24"/>
        </w:rPr>
        <w:t>Environnement économique et financier :</w:t>
      </w:r>
    </w:p>
    <w:p w:rsidR="00806FB8" w:rsidRPr="00A83B39" w:rsidRDefault="00806FB8" w:rsidP="00806FB8">
      <w:pPr>
        <w:autoSpaceDE w:val="0"/>
        <w:autoSpaceDN w:val="0"/>
        <w:adjustRightInd w:val="0"/>
        <w:rPr>
          <w:sz w:val="24"/>
          <w:szCs w:val="24"/>
        </w:rPr>
      </w:pPr>
      <w:r w:rsidRPr="00A83B39">
        <w:rPr>
          <w:sz w:val="24"/>
          <w:szCs w:val="24"/>
        </w:rPr>
        <w:t>•taux de croissance prévu, évolution du chômage…</w:t>
      </w:r>
    </w:p>
    <w:p w:rsidR="00806FB8" w:rsidRPr="00A83B39" w:rsidRDefault="00806FB8" w:rsidP="00806FB8">
      <w:pPr>
        <w:autoSpaceDE w:val="0"/>
        <w:autoSpaceDN w:val="0"/>
        <w:adjustRightInd w:val="0"/>
        <w:rPr>
          <w:sz w:val="24"/>
          <w:szCs w:val="24"/>
        </w:rPr>
      </w:pPr>
      <w:r w:rsidRPr="00A83B39">
        <w:rPr>
          <w:sz w:val="24"/>
          <w:szCs w:val="24"/>
        </w:rPr>
        <w:t>•quelle inflation est attendue ? Quel sera l’impact sur les coûts ? (frais et charges des sinistres) ;</w:t>
      </w:r>
    </w:p>
    <w:p w:rsidR="00806FB8" w:rsidRPr="00A83B39" w:rsidRDefault="00806FB8" w:rsidP="00806FB8">
      <w:pPr>
        <w:autoSpaceDE w:val="0"/>
        <w:autoSpaceDN w:val="0"/>
        <w:adjustRightInd w:val="0"/>
        <w:rPr>
          <w:sz w:val="24"/>
          <w:szCs w:val="24"/>
        </w:rPr>
      </w:pPr>
      <w:r w:rsidRPr="00A83B39">
        <w:rPr>
          <w:sz w:val="24"/>
          <w:szCs w:val="24"/>
        </w:rPr>
        <w:t>•hypothèse d’évolution des marchés actions ;</w:t>
      </w:r>
    </w:p>
    <w:p w:rsidR="00806FB8" w:rsidRPr="00A83B39" w:rsidRDefault="00806FB8" w:rsidP="00806FB8">
      <w:pPr>
        <w:autoSpaceDE w:val="0"/>
        <w:autoSpaceDN w:val="0"/>
        <w:adjustRightInd w:val="0"/>
        <w:rPr>
          <w:sz w:val="24"/>
          <w:szCs w:val="24"/>
        </w:rPr>
      </w:pPr>
      <w:r w:rsidRPr="00A83B39">
        <w:rPr>
          <w:sz w:val="24"/>
          <w:szCs w:val="24"/>
        </w:rPr>
        <w:t>•évolution des taux courts, des taux longs, des spreads ;</w:t>
      </w:r>
    </w:p>
    <w:p w:rsidR="00806FB8" w:rsidRPr="00A83B39" w:rsidRDefault="00806FB8" w:rsidP="00806FB8">
      <w:pPr>
        <w:autoSpaceDE w:val="0"/>
        <w:autoSpaceDN w:val="0"/>
        <w:adjustRightInd w:val="0"/>
        <w:rPr>
          <w:sz w:val="24"/>
          <w:szCs w:val="24"/>
        </w:rPr>
      </w:pPr>
      <w:r w:rsidRPr="00A83B39">
        <w:rPr>
          <w:sz w:val="24"/>
          <w:szCs w:val="24"/>
        </w:rPr>
        <w:t>•rémunération de l’épargne liquide (livret A)…</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Du plan stratégique va découler le plan opérationnel.</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sz w:val="24"/>
          <w:szCs w:val="24"/>
        </w:rPr>
        <w:t xml:space="preserve">• </w:t>
      </w:r>
      <w:r w:rsidRPr="00A83B39">
        <w:rPr>
          <w:b/>
          <w:bCs/>
          <w:sz w:val="24"/>
          <w:szCs w:val="24"/>
        </w:rPr>
        <w:t>Les directions opérationnelles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Les </w:t>
      </w:r>
      <w:r w:rsidRPr="00A83B39">
        <w:rPr>
          <w:b/>
          <w:bCs/>
          <w:sz w:val="24"/>
          <w:szCs w:val="24"/>
        </w:rPr>
        <w:t xml:space="preserve">directions opérationnelles </w:t>
      </w:r>
      <w:r w:rsidRPr="00A83B39">
        <w:rPr>
          <w:sz w:val="24"/>
          <w:szCs w:val="24"/>
        </w:rPr>
        <w:t>déterminent les plans d’actions à mener qui découlent de cette stratégie (plan de développement, plan marketing, plan informatique…) et les moyens nécessaires (effectifs, organisation, …). La procédure d’élaboration des plans et des budgets doit permettre de favoriser les discussions entre les différentes entités opérationnelles puisque les plans d’actions peuvent être interdépendants.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processus sera d’autant plus complexe que la taille de la société est importante et que le niveau de délégation des responsabilités est fort. C’est le cas des groupes où les directeurs de branches ou de filiales peuvent avoir des prérogatives importantes.</w:t>
      </w:r>
    </w:p>
    <w:p w:rsidR="00806FB8" w:rsidRPr="00A83B39" w:rsidRDefault="00806FB8" w:rsidP="00806FB8">
      <w:pPr>
        <w:autoSpaceDE w:val="0"/>
        <w:autoSpaceDN w:val="0"/>
        <w:adjustRightInd w:val="0"/>
        <w:rPr>
          <w:sz w:val="24"/>
          <w:szCs w:val="24"/>
        </w:rPr>
      </w:pPr>
      <w:r w:rsidRPr="00A83B39">
        <w:rPr>
          <w:sz w:val="24"/>
          <w:szCs w:val="24"/>
        </w:rPr>
        <w:t>La démarche prévisionnelle va alors se trouver confrontée à des problèmes de coordination entre les plans (cohérence d’un plan informatique avec les besoins des directions opérationnelles, d’un plan marketing avec les objectifs d’une direction de branche etc.).</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Les plans opérationnels peuvent même être en contradiction avec l’intérêt de l’organisation. La préparation du plan et du budget doit donc être l’occasion de discuter sur la finalité de chaque plan et sur leur contribution au plan dans son ensemble. Le rôle d’organisateur assuré par le contrôle de gestion est donc primordial, en particulier dans la mesure où il contribue à faire prévaloir l’intérêt collectif sur les intérêts individuels.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sz w:val="24"/>
          <w:szCs w:val="24"/>
        </w:rPr>
        <w:t xml:space="preserve">• </w:t>
      </w:r>
      <w:r w:rsidRPr="00A83B39">
        <w:rPr>
          <w:b/>
          <w:bCs/>
          <w:sz w:val="24"/>
          <w:szCs w:val="24"/>
        </w:rPr>
        <w:t>Le contrôle de gestion</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Le </w:t>
      </w:r>
      <w:r w:rsidRPr="00A83B39">
        <w:rPr>
          <w:b/>
          <w:bCs/>
          <w:sz w:val="24"/>
          <w:szCs w:val="24"/>
        </w:rPr>
        <w:t xml:space="preserve">contrôle de gestion </w:t>
      </w:r>
      <w:r w:rsidRPr="00A83B39">
        <w:rPr>
          <w:sz w:val="24"/>
          <w:szCs w:val="24"/>
        </w:rPr>
        <w:t>anime donc le processus et valorise les plans d’actions. Il doit aider à mesurer si ceux-ci contribuent à atteindre les objectifs fixés par la direction générale.</w:t>
      </w:r>
    </w:p>
    <w:p w:rsidR="00806FB8" w:rsidRPr="00A83B39" w:rsidRDefault="00806FB8" w:rsidP="00806FB8">
      <w:pPr>
        <w:autoSpaceDE w:val="0"/>
        <w:autoSpaceDN w:val="0"/>
        <w:adjustRightInd w:val="0"/>
        <w:jc w:val="left"/>
        <w:rPr>
          <w:sz w:val="24"/>
          <w:szCs w:val="24"/>
        </w:rPr>
      </w:pPr>
    </w:p>
    <w:p w:rsidR="00806FB8" w:rsidRPr="00A83B39" w:rsidRDefault="00806FB8" w:rsidP="00806FB8">
      <w:pPr>
        <w:pStyle w:val="ListParagraph"/>
        <w:numPr>
          <w:ilvl w:val="2"/>
          <w:numId w:val="36"/>
        </w:numPr>
        <w:autoSpaceDE w:val="0"/>
        <w:autoSpaceDN w:val="0"/>
        <w:adjustRightInd w:val="0"/>
        <w:ind w:left="1225" w:hanging="505"/>
        <w:jc w:val="left"/>
        <w:outlineLvl w:val="3"/>
        <w:rPr>
          <w:color w:val="000000"/>
          <w:sz w:val="24"/>
          <w:szCs w:val="24"/>
        </w:rPr>
      </w:pPr>
      <w:bookmarkStart w:id="80" w:name="_Toc351126794"/>
      <w:r w:rsidRPr="00A83B39">
        <w:rPr>
          <w:color w:val="000000"/>
          <w:sz w:val="24"/>
          <w:szCs w:val="24"/>
        </w:rPr>
        <w:t>Le planning</w:t>
      </w:r>
      <w:bookmarkEnd w:id="80"/>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rPr>
          <w:sz w:val="24"/>
          <w:szCs w:val="24"/>
        </w:rPr>
      </w:pPr>
      <w:r w:rsidRPr="00A83B39">
        <w:rPr>
          <w:sz w:val="24"/>
          <w:szCs w:val="24"/>
        </w:rPr>
        <w:t>La procédure de construction des budgets et du plan est généralement la suivante.</w:t>
      </w: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r>
        <w:rPr>
          <w:noProof/>
          <w:sz w:val="24"/>
          <w:szCs w:val="24"/>
        </w:rPr>
        <mc:AlternateContent>
          <mc:Choice Requires="wpg">
            <w:drawing>
              <wp:anchor distT="0" distB="0" distL="114300" distR="114300" simplePos="0" relativeHeight="251662848" behindDoc="0" locked="0" layoutInCell="1" allowOverlap="1">
                <wp:simplePos x="0" y="0"/>
                <wp:positionH relativeFrom="column">
                  <wp:posOffset>-278130</wp:posOffset>
                </wp:positionH>
                <wp:positionV relativeFrom="paragraph">
                  <wp:posOffset>73660</wp:posOffset>
                </wp:positionV>
                <wp:extent cx="6387465" cy="1483995"/>
                <wp:effectExtent l="12065" t="6985" r="10795" b="444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7465" cy="1483995"/>
                          <a:chOff x="1328" y="5328"/>
                          <a:chExt cx="10059" cy="2337"/>
                        </a:xfrm>
                      </wpg:grpSpPr>
                      <wps:wsp>
                        <wps:cNvPr id="41" name="AutoShape 17"/>
                        <wps:cNvCnPr>
                          <a:cxnSpLocks noChangeShapeType="1"/>
                        </wps:cNvCnPr>
                        <wps:spPr bwMode="auto">
                          <a:xfrm>
                            <a:off x="10585" y="6020"/>
                            <a:ext cx="0" cy="10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2" name="Group 18"/>
                        <wpg:cNvGrpSpPr>
                          <a:grpSpLocks/>
                        </wpg:cNvGrpSpPr>
                        <wpg:grpSpPr bwMode="auto">
                          <a:xfrm>
                            <a:off x="1328" y="5328"/>
                            <a:ext cx="10059" cy="2337"/>
                            <a:chOff x="1328" y="6340"/>
                            <a:chExt cx="10059" cy="2337"/>
                          </a:xfrm>
                        </wpg:grpSpPr>
                        <wps:wsp>
                          <wps:cNvPr id="43" name="AutoShape 19"/>
                          <wps:cNvCnPr>
                            <a:cxnSpLocks noChangeShapeType="1"/>
                          </wps:cNvCnPr>
                          <wps:spPr bwMode="auto">
                            <a:xfrm>
                              <a:off x="1328" y="8079"/>
                              <a:ext cx="99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20"/>
                          <wps:cNvSpPr>
                            <a:spLocks noChangeArrowheads="1"/>
                          </wps:cNvSpPr>
                          <wps:spPr bwMode="auto">
                            <a:xfrm>
                              <a:off x="1593" y="6340"/>
                              <a:ext cx="1496" cy="692"/>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Lettre de cadrage</w:t>
                                </w:r>
                              </w:p>
                            </w:txbxContent>
                          </wps:txbx>
                          <wps:bodyPr rot="0" vert="horz" wrap="square" lIns="91440" tIns="45720" rIns="91440" bIns="45720" anchor="ctr" anchorCtr="0" upright="1">
                            <a:noAutofit/>
                          </wps:bodyPr>
                        </wps:wsp>
                        <wps:wsp>
                          <wps:cNvPr id="45" name="Rectangle 21"/>
                          <wps:cNvSpPr>
                            <a:spLocks noChangeArrowheads="1"/>
                          </wps:cNvSpPr>
                          <wps:spPr bwMode="auto">
                            <a:xfrm>
                              <a:off x="5761" y="6340"/>
                              <a:ext cx="1496" cy="692"/>
                            </a:xfrm>
                            <a:prstGeom prst="rect">
                              <a:avLst/>
                            </a:prstGeom>
                            <a:solidFill>
                              <a:srgbClr val="FFFFFF"/>
                            </a:solidFill>
                            <a:ln w="9525">
                              <a:solidFill>
                                <a:srgbClr val="000000"/>
                              </a:solidFill>
                              <a:miter lim="800000"/>
                              <a:headEnd/>
                              <a:tailEnd/>
                            </a:ln>
                          </wps:spPr>
                          <wps:txbx>
                            <w:txbxContent>
                              <w:p w:rsidR="00806FB8" w:rsidRPr="006E3CA8" w:rsidRDefault="00806FB8" w:rsidP="00806FB8">
                                <w:pPr>
                                  <w:jc w:val="center"/>
                                  <w:rPr>
                                    <w:sz w:val="18"/>
                                  </w:rPr>
                                </w:pPr>
                                <w:r w:rsidRPr="006E3CA8">
                                  <w:rPr>
                                    <w:sz w:val="18"/>
                                  </w:rPr>
                                  <w:t>Approbation des pré-budgets</w:t>
                                </w:r>
                              </w:p>
                            </w:txbxContent>
                          </wps:txbx>
                          <wps:bodyPr rot="0" vert="horz" wrap="square" lIns="91440" tIns="45720" rIns="91440" bIns="45720" anchor="ctr" anchorCtr="0" upright="1">
                            <a:noAutofit/>
                          </wps:bodyPr>
                        </wps:wsp>
                        <wps:wsp>
                          <wps:cNvPr id="46" name="Rectangle 22"/>
                          <wps:cNvSpPr>
                            <a:spLocks noChangeArrowheads="1"/>
                          </wps:cNvSpPr>
                          <wps:spPr bwMode="auto">
                            <a:xfrm>
                              <a:off x="9891" y="6340"/>
                              <a:ext cx="1496" cy="692"/>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Budget de l'entreprise</w:t>
                                </w:r>
                              </w:p>
                            </w:txbxContent>
                          </wps:txbx>
                          <wps:bodyPr rot="0" vert="horz" wrap="square" lIns="91440" tIns="45720" rIns="91440" bIns="45720" anchor="ctr" anchorCtr="0" upright="1">
                            <a:noAutofit/>
                          </wps:bodyPr>
                        </wps:wsp>
                        <wps:wsp>
                          <wps:cNvPr id="47" name="AutoShape 23"/>
                          <wps:cNvCnPr>
                            <a:cxnSpLocks noChangeShapeType="1"/>
                          </wps:cNvCnPr>
                          <wps:spPr bwMode="auto">
                            <a:xfrm>
                              <a:off x="2319" y="7032"/>
                              <a:ext cx="0" cy="10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4"/>
                          <wps:cNvCnPr>
                            <a:cxnSpLocks noChangeShapeType="1"/>
                          </wps:cNvCnPr>
                          <wps:spPr bwMode="auto">
                            <a:xfrm>
                              <a:off x="6508" y="7032"/>
                              <a:ext cx="0" cy="10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5"/>
                          <wps:cNvCnPr>
                            <a:cxnSpLocks noChangeShapeType="1"/>
                          </wps:cNvCnPr>
                          <wps:spPr bwMode="auto">
                            <a:xfrm flipH="1" flipV="1">
                              <a:off x="2319" y="7574"/>
                              <a:ext cx="4189" cy="1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AutoShape 26"/>
                          <wps:cNvCnPr>
                            <a:cxnSpLocks noChangeShapeType="1"/>
                          </wps:cNvCnPr>
                          <wps:spPr bwMode="auto">
                            <a:xfrm flipH="1" flipV="1">
                              <a:off x="6508" y="7593"/>
                              <a:ext cx="4077" cy="1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Rectangle 27"/>
                          <wps:cNvSpPr>
                            <a:spLocks noChangeArrowheads="1"/>
                          </wps:cNvSpPr>
                          <wps:spPr bwMode="auto">
                            <a:xfrm>
                              <a:off x="3329" y="7181"/>
                              <a:ext cx="2225" cy="692"/>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Pré-budgets / navettes budgétaires</w:t>
                                </w:r>
                              </w:p>
                            </w:txbxContent>
                          </wps:txbx>
                          <wps:bodyPr rot="0" vert="horz" wrap="square" lIns="91440" tIns="45720" rIns="91440" bIns="45720" anchor="ctr" anchorCtr="0" upright="1">
                            <a:noAutofit/>
                          </wps:bodyPr>
                        </wps:wsp>
                        <wps:wsp>
                          <wps:cNvPr id="52" name="Rectangle 28"/>
                          <wps:cNvSpPr>
                            <a:spLocks noChangeArrowheads="1"/>
                          </wps:cNvSpPr>
                          <wps:spPr bwMode="auto">
                            <a:xfrm>
                              <a:off x="7422" y="7181"/>
                              <a:ext cx="2225" cy="692"/>
                            </a:xfrm>
                            <a:prstGeom prst="rect">
                              <a:avLst/>
                            </a:prstGeom>
                            <a:solidFill>
                              <a:srgbClr val="FFFFFF"/>
                            </a:solidFill>
                            <a:ln w="9525">
                              <a:solidFill>
                                <a:srgbClr val="000000"/>
                              </a:solidFill>
                              <a:miter lim="800000"/>
                              <a:headEnd/>
                              <a:tailEnd/>
                            </a:ln>
                          </wps:spPr>
                          <wps:txbx>
                            <w:txbxContent>
                              <w:p w:rsidR="00806FB8" w:rsidRDefault="00806FB8" w:rsidP="00806FB8">
                                <w:pPr>
                                  <w:jc w:val="center"/>
                                </w:pPr>
                                <w:r>
                                  <w:t>Consolidation</w:t>
                                </w:r>
                              </w:p>
                            </w:txbxContent>
                          </wps:txbx>
                          <wps:bodyPr rot="0" vert="horz" wrap="square" lIns="91440" tIns="45720" rIns="91440" bIns="45720" anchor="ctr" anchorCtr="0" upright="1">
                            <a:noAutofit/>
                          </wps:bodyPr>
                        </wps:wsp>
                        <wps:wsp>
                          <wps:cNvPr id="53" name="Text Box 29"/>
                          <wps:cNvSpPr txBox="1">
                            <a:spLocks noChangeArrowheads="1"/>
                          </wps:cNvSpPr>
                          <wps:spPr bwMode="auto">
                            <a:xfrm>
                              <a:off x="1593" y="8266"/>
                              <a:ext cx="1272"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FB8" w:rsidRDefault="00806FB8" w:rsidP="00806FB8">
                                <w:pPr>
                                  <w:jc w:val="center"/>
                                </w:pPr>
                                <w:r>
                                  <w:t>Septembre</w:t>
                                </w:r>
                              </w:p>
                            </w:txbxContent>
                          </wps:txbx>
                          <wps:bodyPr rot="0" vert="horz" wrap="square" lIns="91440" tIns="45720" rIns="91440" bIns="45720" anchor="t" anchorCtr="0" upright="1">
                            <a:noAutofit/>
                          </wps:bodyPr>
                        </wps:wsp>
                        <wps:wsp>
                          <wps:cNvPr id="54" name="Text Box 30"/>
                          <wps:cNvSpPr txBox="1">
                            <a:spLocks noChangeArrowheads="1"/>
                          </wps:cNvSpPr>
                          <wps:spPr bwMode="auto">
                            <a:xfrm>
                              <a:off x="3722" y="8266"/>
                              <a:ext cx="1272"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FB8" w:rsidRDefault="00806FB8" w:rsidP="00806FB8">
                                <w:pPr>
                                  <w:jc w:val="center"/>
                                </w:pPr>
                                <w:r>
                                  <w:t>Octobre</w:t>
                                </w:r>
                              </w:p>
                            </w:txbxContent>
                          </wps:txbx>
                          <wps:bodyPr rot="0" vert="horz" wrap="square" lIns="91440" tIns="45720" rIns="91440" bIns="45720" anchor="t" anchorCtr="0" upright="1">
                            <a:noAutofit/>
                          </wps:bodyPr>
                        </wps:wsp>
                        <wps:wsp>
                          <wps:cNvPr id="55" name="Text Box 31"/>
                          <wps:cNvSpPr txBox="1">
                            <a:spLocks noChangeArrowheads="1"/>
                          </wps:cNvSpPr>
                          <wps:spPr bwMode="auto">
                            <a:xfrm>
                              <a:off x="5985" y="8266"/>
                              <a:ext cx="1272"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FB8" w:rsidRDefault="00806FB8" w:rsidP="00806FB8">
                                <w:pPr>
                                  <w:jc w:val="center"/>
                                </w:pPr>
                                <w:r>
                                  <w:t>Novembre</w:t>
                                </w:r>
                              </w:p>
                            </w:txbxContent>
                          </wps:txbx>
                          <wps:bodyPr rot="0" vert="horz" wrap="square" lIns="91440" tIns="45720" rIns="91440" bIns="45720" anchor="t" anchorCtr="0" upright="1">
                            <a:noAutofit/>
                          </wps:bodyPr>
                        </wps:wsp>
                        <wps:wsp>
                          <wps:cNvPr id="56" name="Text Box 32"/>
                          <wps:cNvSpPr txBox="1">
                            <a:spLocks noChangeArrowheads="1"/>
                          </wps:cNvSpPr>
                          <wps:spPr bwMode="auto">
                            <a:xfrm>
                              <a:off x="9891" y="8266"/>
                              <a:ext cx="1272"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FB8" w:rsidRDefault="00806FB8" w:rsidP="00806FB8">
                                <w:pPr>
                                  <w:jc w:val="center"/>
                                </w:pPr>
                                <w:r>
                                  <w:t>Décembre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78" style="position:absolute;margin-left:-21.9pt;margin-top:5.8pt;width:502.95pt;height:116.85pt;z-index:251662848" coordorigin="1328,5328" coordsize="10059,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">
                <v:shape id="AutoShape 17" o:spid="_x0000_s1079" type="#_x0000_t32" style="position:absolute;left:10585;top:6020;width:0;height:1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group id="Group 18" o:spid="_x0000_s1080" style="position:absolute;left:1328;top:5328;width:10059;height:2337" coordorigin="1328,6340" coordsize="10059,2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19" o:spid="_x0000_s1081" type="#_x0000_t32" style="position:absolute;left:1328;top:8079;width:99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rect id="Rectangle 20" o:spid="_x0000_s1082" style="position:absolute;left:1593;top:6340;width:1496;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oxsUA&#10;AADbAAAADwAAAGRycy9kb3ducmV2LnhtbESPQWvCQBSE74X+h+UVvEjdKCK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ujGxQAAANsAAAAPAAAAAAAAAAAAAAAAAJgCAABkcnMv&#10;ZG93bnJldi54bWxQSwUGAAAAAAQABAD1AAAAigMAAAAA&#10;">
                    <v:textbox>
                      <w:txbxContent>
                        <w:p w:rsidR="00806FB8" w:rsidRDefault="00806FB8" w:rsidP="00806FB8">
                          <w:pPr>
                            <w:jc w:val="center"/>
                          </w:pPr>
                          <w:r>
                            <w:t>Lettre de cadrage</w:t>
                          </w:r>
                        </w:p>
                      </w:txbxContent>
                    </v:textbox>
                  </v:rect>
                  <v:rect id="Rectangle 21" o:spid="_x0000_s1083" style="position:absolute;left:5761;top:6340;width:1496;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NXcUA&#10;AADbAAAADwAAAGRycy9kb3ducmV2LnhtbESPQWvCQBSE70L/w/IKvUjdtGg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k1dxQAAANsAAAAPAAAAAAAAAAAAAAAAAJgCAABkcnMv&#10;ZG93bnJldi54bWxQSwUGAAAAAAQABAD1AAAAigMAAAAA&#10;">
                    <v:textbox>
                      <w:txbxContent>
                        <w:p w:rsidR="00806FB8" w:rsidRPr="006E3CA8" w:rsidRDefault="00806FB8" w:rsidP="00806FB8">
                          <w:pPr>
                            <w:jc w:val="center"/>
                            <w:rPr>
                              <w:sz w:val="18"/>
                            </w:rPr>
                          </w:pPr>
                          <w:r w:rsidRPr="006E3CA8">
                            <w:rPr>
                              <w:sz w:val="18"/>
                            </w:rPr>
                            <w:t>Approbation des pré-budgets</w:t>
                          </w:r>
                        </w:p>
                      </w:txbxContent>
                    </v:textbox>
                  </v:rect>
                  <v:rect id="Rectangle 22" o:spid="_x0000_s1084" style="position:absolute;left:9891;top:6340;width:1496;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TKsUA&#10;AADbAAAADwAAAGRycy9kb3ducmV2LnhtbESPQWvCQBSE74X+h+UVvEjdKCKSukoolSp6MEkvvT2y&#10;r9nQ7NuQ3cb4791CocdhZr5hNrvRtmKg3jeOFcxnCQjiyumGawUf5f55DcIHZI2tY1JwIw+77ePD&#10;BlPtrpzTUIRaRAj7FBWYELpUSl8ZsuhnriOO3pfrLYYo+1rqHq8Rblu5SJKVtNhwXDDY0auh6rv4&#10;sQo+3dm9ZQm9d6Y8hmGa5adLkSs1eRqzFxCBxvAf/msftILlC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NMqxQAAANsAAAAPAAAAAAAAAAAAAAAAAJgCAABkcnMv&#10;ZG93bnJldi54bWxQSwUGAAAAAAQABAD1AAAAigMAAAAA&#10;">
                    <v:textbox>
                      <w:txbxContent>
                        <w:p w:rsidR="00806FB8" w:rsidRDefault="00806FB8" w:rsidP="00806FB8">
                          <w:pPr>
                            <w:jc w:val="center"/>
                          </w:pPr>
                          <w:r>
                            <w:t>Budget de l'entreprise</w:t>
                          </w:r>
                        </w:p>
                      </w:txbxContent>
                    </v:textbox>
                  </v:rect>
                  <v:shape id="AutoShape 23" o:spid="_x0000_s1085" type="#_x0000_t32" style="position:absolute;left:2319;top:7032;width:0;height:1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24" o:spid="_x0000_s1086" type="#_x0000_t32" style="position:absolute;left:6508;top:7032;width:0;height:1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25" o:spid="_x0000_s1087" type="#_x0000_t32" style="position:absolute;left:2319;top:7574;width:4189;height: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G9sUAAADbAAAADwAAAGRycy9kb3ducmV2LnhtbESPT2vCQBTE70K/w/IKvYjZtIi0qauU&#10;ihLoyaSHHp/Zlz+YfRuyq0n89N1CweMwM79h1tvRtOJKvWssK3iOYhDEhdUNVwq+8/3iFYTzyBpb&#10;y6RgIgfbzcNsjYm2Ax/pmvlKBAi7BBXU3neJlK6oyaCLbEccvNL2Bn2QfSV1j0OAm1a+xPFKGmw4&#10;LNTY0WdNxTm7GAU/u6/xVrT5aTmcLzjPp0OZpUapp8fx4x2Ep9Hfw//tVCtYvsHf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3G9sUAAADbAAAADwAAAAAAAAAA&#10;AAAAAAChAgAAZHJzL2Rvd25yZXYueG1sUEsFBgAAAAAEAAQA+QAAAJMDAAAAAA==&#10;">
                    <v:stroke startarrow="block" endarrow="block"/>
                  </v:shape>
                  <v:shape id="AutoShape 26" o:spid="_x0000_s1088" type="#_x0000_t32" style="position:absolute;left:6508;top:7593;width:4077;height: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5tsIAAADbAAAADwAAAGRycy9kb3ducmV2LnhtbERPy2rCQBTdF/oPwy10U+pEaaWkTkQU&#10;i+CqiQuXt5lrEpK5EzJjHv16ZyG4PJz3aj2aRvTUucqygvksAkGcW11xoeCU7d+/QDiPrLGxTAom&#10;crBOnp9WGGs78C/1qS9ECGEXo4LS+zaW0uUlGXQz2xIH7mI7gz7ArpC6wyGEm0YuomgpDVYcGkps&#10;aVtSXqdXo+C8O47/eZP9fQz1Fd+y6eeSHoxSry/j5huEp9E/xHf3QSv4DOvDl/ADZH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75tsIAAADbAAAADwAAAAAAAAAAAAAA&#10;AAChAgAAZHJzL2Rvd25yZXYueG1sUEsFBgAAAAAEAAQA+QAAAJADAAAAAA==&#10;">
                    <v:stroke startarrow="block" endarrow="block"/>
                  </v:shape>
                  <v:rect id="Rectangle 27" o:spid="_x0000_s1089" style="position:absolute;left:3329;top:7181;width:2225;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dg8QA&#10;AADbAAAADwAAAGRycy9kb3ducmV2LnhtbESPQWvCQBSE70L/w/IKXqRuLCiSukoolSr2YGIvvT2y&#10;r9nQ7NuQXWP8965Q8DjMzDfMajPYRvTU+dqxgtk0AUFcOl1zpeD7tH1ZgvABWWPjmBRcycNm/TRa&#10;YardhXPqi1CJCGGfogITQptK6UtDFv3UtcTR+3WdxRBlV0nd4SXCbSNfk2QhLdYcFwy29G6o/CvO&#10;VsGP+3IfWUKfrTntQz/J8sOxyJUaPw/ZG4hAQ3iE/9s7rWA+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3YPEAAAA2wAAAA8AAAAAAAAAAAAAAAAAmAIAAGRycy9k&#10;b3ducmV2LnhtbFBLBQYAAAAABAAEAPUAAACJAwAAAAA=&#10;">
                    <v:textbox>
                      <w:txbxContent>
                        <w:p w:rsidR="00806FB8" w:rsidRDefault="00806FB8" w:rsidP="00806FB8">
                          <w:pPr>
                            <w:jc w:val="center"/>
                          </w:pPr>
                          <w:r>
                            <w:t>Pré-budgets / navettes budgétaires</w:t>
                          </w:r>
                        </w:p>
                      </w:txbxContent>
                    </v:textbox>
                  </v:rect>
                  <v:rect id="Rectangle 28" o:spid="_x0000_s1090" style="position:absolute;left:7422;top:7181;width:2225;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ZD9MQA&#10;AADbAAAADwAAAGRycy9kb3ducmV2LnhtbESPQWvCQBSE70L/w/IKvYhuKigSXSWUlrbowUQv3h7Z&#10;12xo9m3IbmP6711B8DjMzDfMejvYRvTU+dqxgtdpAoK4dLrmSsHp+DFZgvABWWPjmBT8k4ft5mm0&#10;xlS7C+fUF6ESEcI+RQUmhDaV0peGLPqpa4mj9+M6iyHKrpK6w0uE20bOkmQhLdYcFwy29Gao/C3+&#10;rIKz27v3LKHP1hy/Qz/O8t2hyJV6eR6yFYhAQ3iE7+0vrWA+g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mQ/TEAAAA2wAAAA8AAAAAAAAAAAAAAAAAmAIAAGRycy9k&#10;b3ducmV2LnhtbFBLBQYAAAAABAAEAPUAAACJAwAAAAA=&#10;">
                    <v:textbox>
                      <w:txbxContent>
                        <w:p w:rsidR="00806FB8" w:rsidRDefault="00806FB8" w:rsidP="00806FB8">
                          <w:pPr>
                            <w:jc w:val="center"/>
                          </w:pPr>
                          <w:r>
                            <w:t>Consolidation</w:t>
                          </w:r>
                        </w:p>
                      </w:txbxContent>
                    </v:textbox>
                  </v:rect>
                  <v:shapetype id="_x0000_t202" coordsize="21600,21600" o:spt="202" path="m,l,21600r21600,l21600,xe">
                    <v:stroke joinstyle="miter"/>
                    <v:path gradientshapeok="t" o:connecttype="rect"/>
                  </v:shapetype>
                  <v:shape id="Text Box 29" o:spid="_x0000_s1091" type="#_x0000_t202" style="position:absolute;left:1593;top:8266;width:127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806FB8" w:rsidRDefault="00806FB8" w:rsidP="00806FB8">
                          <w:pPr>
                            <w:jc w:val="center"/>
                          </w:pPr>
                          <w:r>
                            <w:t>Septembre</w:t>
                          </w:r>
                        </w:p>
                      </w:txbxContent>
                    </v:textbox>
                  </v:shape>
                  <v:shape id="Text Box 30" o:spid="_x0000_s1092" type="#_x0000_t202" style="position:absolute;left:3722;top:8266;width:127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806FB8" w:rsidRDefault="00806FB8" w:rsidP="00806FB8">
                          <w:pPr>
                            <w:jc w:val="center"/>
                          </w:pPr>
                          <w:r>
                            <w:t>Octobre</w:t>
                          </w:r>
                        </w:p>
                      </w:txbxContent>
                    </v:textbox>
                  </v:shape>
                  <v:shape id="Text Box 31" o:spid="_x0000_s1093" type="#_x0000_t202" style="position:absolute;left:5985;top:8266;width:127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806FB8" w:rsidRDefault="00806FB8" w:rsidP="00806FB8">
                          <w:pPr>
                            <w:jc w:val="center"/>
                          </w:pPr>
                          <w:r>
                            <w:t>Novembre</w:t>
                          </w:r>
                        </w:p>
                      </w:txbxContent>
                    </v:textbox>
                  </v:shape>
                  <v:shape id="Text Box 32" o:spid="_x0000_s1094" type="#_x0000_t202" style="position:absolute;left:9891;top:8266;width:127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806FB8" w:rsidRDefault="00806FB8" w:rsidP="00806FB8">
                          <w:pPr>
                            <w:jc w:val="center"/>
                          </w:pPr>
                          <w:r>
                            <w:t>Décembre</w:t>
                          </w:r>
                        </w:p>
                      </w:txbxContent>
                    </v:textbox>
                  </v:shape>
                </v:group>
              </v:group>
            </w:pict>
          </mc:Fallback>
        </mc:AlternateContent>
      </w: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jc w:val="left"/>
        <w:rPr>
          <w:sz w:val="24"/>
          <w:szCs w:val="24"/>
        </w:rPr>
      </w:pPr>
    </w:p>
    <w:p w:rsidR="00806FB8" w:rsidRPr="00A83B39" w:rsidRDefault="00806FB8" w:rsidP="00806FB8">
      <w:pPr>
        <w:autoSpaceDE w:val="0"/>
        <w:autoSpaceDN w:val="0"/>
        <w:adjustRightInd w:val="0"/>
        <w:rPr>
          <w:b/>
          <w:bCs/>
          <w:sz w:val="24"/>
          <w:szCs w:val="24"/>
        </w:rPr>
      </w:pPr>
      <w:r w:rsidRPr="00A83B39">
        <w:rPr>
          <w:sz w:val="24"/>
          <w:szCs w:val="24"/>
        </w:rPr>
        <w:t xml:space="preserve">• </w:t>
      </w:r>
      <w:r w:rsidRPr="00A83B39">
        <w:rPr>
          <w:b/>
          <w:bCs/>
          <w:sz w:val="24"/>
          <w:szCs w:val="24"/>
        </w:rPr>
        <w:t>Lancement du processus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lancement de la démarche prévisionnelle est en général marqué par la communication d’une lettre de cadrage adressée aux directeurs opérationnels. Cette lettre émane de la direction générale. Elle reprend le planning d’élaboration. Elle fixe les grandes orientations ainsi que les règles du jeu (grandes hypothèses, environnement, politique salariale…).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sz w:val="24"/>
          <w:szCs w:val="24"/>
        </w:rPr>
        <w:t xml:space="preserve">• </w:t>
      </w:r>
      <w:r w:rsidRPr="00A83B39">
        <w:rPr>
          <w:b/>
          <w:bCs/>
          <w:sz w:val="24"/>
          <w:szCs w:val="24"/>
        </w:rPr>
        <w:t>Phase pré-budgétaire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Les responsables opérationnels établissent leurs plans d’actions et des pré-budgets.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 xml:space="preserve">Ces pré-budgets seront revus, discutés afin d’assurer la cohérence entre les plans d’actions entre eux (cohérence horizontale) et avec la stratégie de l’entreprise (cohérence verticale). On parle de « navettes budgétaires ». Il s’agit d’une phase de négociation d’autant plus active et importante que , </w:t>
      </w:r>
      <w:r w:rsidRPr="00A83B39">
        <w:rPr>
          <w:i/>
          <w:sz w:val="24"/>
          <w:szCs w:val="24"/>
        </w:rPr>
        <w:t>in fine</w:t>
      </w:r>
      <w:r w:rsidRPr="00A83B39">
        <w:rPr>
          <w:sz w:val="24"/>
          <w:szCs w:val="24"/>
        </w:rPr>
        <w:t>, c’est sur ces plans d’actions et ces objectifs que les responsables opérationnels seront jugés.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b/>
          <w:bCs/>
          <w:sz w:val="24"/>
          <w:szCs w:val="24"/>
        </w:rPr>
      </w:pPr>
      <w:r w:rsidRPr="00A83B39">
        <w:rPr>
          <w:sz w:val="24"/>
          <w:szCs w:val="24"/>
        </w:rPr>
        <w:t xml:space="preserve">• </w:t>
      </w:r>
      <w:r w:rsidRPr="00A83B39">
        <w:rPr>
          <w:b/>
          <w:bCs/>
          <w:sz w:val="24"/>
          <w:szCs w:val="24"/>
        </w:rPr>
        <w:t>Consolidation des budgets</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Une fois les plans et budgets adoptés, ils sont définitivement consolidés. Le contrôle de gestion établit alors des comptes de résultat et des bilans prévisionnels. Il s’agit d’une phase essentiellement technique.</w:t>
      </w:r>
    </w:p>
    <w:p w:rsidR="00806FB8" w:rsidRPr="00A83B39" w:rsidRDefault="00806FB8" w:rsidP="00806FB8">
      <w:pPr>
        <w:autoSpaceDE w:val="0"/>
        <w:autoSpaceDN w:val="0"/>
        <w:adjustRightInd w:val="0"/>
        <w:rPr>
          <w:sz w:val="24"/>
          <w:szCs w:val="24"/>
        </w:rPr>
      </w:pPr>
    </w:p>
    <w:p w:rsidR="00806FB8" w:rsidRPr="00A83B39" w:rsidRDefault="00806FB8" w:rsidP="00806FB8">
      <w:pPr>
        <w:autoSpaceDE w:val="0"/>
        <w:autoSpaceDN w:val="0"/>
        <w:adjustRightInd w:val="0"/>
        <w:rPr>
          <w:sz w:val="24"/>
          <w:szCs w:val="24"/>
        </w:rPr>
      </w:pPr>
      <w:r w:rsidRPr="00A83B39">
        <w:rPr>
          <w:sz w:val="24"/>
          <w:szCs w:val="24"/>
        </w:rPr>
        <w:t>Le planning sera d’autant plus long que la structure sera complexe et les niveaux de responsabilités importants. Dans une structure plus petite un planning plus court est tout à fait possible.</w:t>
      </w:r>
    </w:p>
    <w:p w:rsidR="00806FB8" w:rsidRPr="00A83B39" w:rsidRDefault="00806FB8" w:rsidP="00806FB8">
      <w:pPr>
        <w:autoSpaceDE w:val="0"/>
        <w:autoSpaceDN w:val="0"/>
        <w:adjustRightInd w:val="0"/>
        <w:jc w:val="left"/>
        <w:rPr>
          <w:sz w:val="24"/>
          <w:szCs w:val="24"/>
        </w:rPr>
      </w:pPr>
    </w:p>
    <w:p w:rsidR="00806FB8" w:rsidRPr="00A83B39" w:rsidRDefault="00806FB8" w:rsidP="00806FB8">
      <w:pPr>
        <w:pStyle w:val="ListParagraph"/>
        <w:numPr>
          <w:ilvl w:val="0"/>
          <w:numId w:val="36"/>
        </w:numPr>
        <w:ind w:left="357" w:hanging="357"/>
        <w:contextualSpacing w:val="0"/>
        <w:outlineLvl w:val="1"/>
        <w:rPr>
          <w:color w:val="000000"/>
          <w:sz w:val="24"/>
          <w:szCs w:val="24"/>
        </w:rPr>
      </w:pPr>
      <w:bookmarkStart w:id="81" w:name="_Toc351126795"/>
      <w:r w:rsidRPr="00A83B39">
        <w:rPr>
          <w:color w:val="000000"/>
          <w:sz w:val="24"/>
          <w:szCs w:val="24"/>
        </w:rPr>
        <w:t>Gestion actif-passif</w:t>
      </w:r>
      <w:bookmarkEnd w:id="81"/>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rPr>
        <w:t>La gestion actif-passif peut se définir comme la recherche de l’adéquation de l’actif au passif. Cette recherche s’impose aux assureurs, qu’il y ait ou non une réglementation spécifique.</w:t>
      </w:r>
    </w:p>
    <w:p w:rsidR="00806FB8" w:rsidRPr="00A83B39" w:rsidRDefault="00806FB8" w:rsidP="00806FB8">
      <w:pPr>
        <w:rPr>
          <w:sz w:val="24"/>
          <w:szCs w:val="24"/>
        </w:rPr>
      </w:pPr>
      <w:r w:rsidRPr="00A83B39">
        <w:rPr>
          <w:sz w:val="24"/>
          <w:szCs w:val="24"/>
        </w:rPr>
        <w:t xml:space="preserve">En pratique, il s'agit d'un ensemble de méthodes de prévision, d'outils d'analyse des risques et de techniques de gestion orienté vers la maîtrise des risques financiers de toute nature. Ainsi, </w:t>
      </w:r>
      <w:r w:rsidRPr="00A83B39">
        <w:rPr>
          <w:sz w:val="24"/>
          <w:szCs w:val="24"/>
        </w:rPr>
        <w:lastRenderedPageBreak/>
        <w:t>l'approche actif-passif consiste à évaluer toute décision de gestion dans le cadre de l'équilibre dynamique du bilan. Elle revêt un caractère primordial dès lors que l’entreprise gère des engagements à long terme, notamment en assurance vie.</w:t>
      </w:r>
    </w:p>
    <w:p w:rsidR="00806FB8" w:rsidRPr="00A83B39" w:rsidRDefault="00806FB8" w:rsidP="00806FB8">
      <w:pPr>
        <w:rPr>
          <w:sz w:val="24"/>
          <w:szCs w:val="24"/>
        </w:rPr>
      </w:pPr>
    </w:p>
    <w:p w:rsidR="00806FB8" w:rsidRPr="00A83B39" w:rsidRDefault="00806FB8" w:rsidP="00806FB8">
      <w:pPr>
        <w:pStyle w:val="ListParagraph"/>
        <w:numPr>
          <w:ilvl w:val="1"/>
          <w:numId w:val="36"/>
        </w:numPr>
        <w:ind w:left="788" w:hanging="431"/>
        <w:contextualSpacing w:val="0"/>
        <w:outlineLvl w:val="2"/>
        <w:rPr>
          <w:color w:val="000000"/>
          <w:sz w:val="24"/>
          <w:szCs w:val="24"/>
        </w:rPr>
      </w:pPr>
      <w:bookmarkStart w:id="82" w:name="_Toc351126796"/>
      <w:r w:rsidRPr="00A83B39">
        <w:rPr>
          <w:color w:val="000000"/>
          <w:sz w:val="24"/>
          <w:szCs w:val="24"/>
        </w:rPr>
        <w:t>Réglementation</w:t>
      </w:r>
      <w:bookmarkEnd w:id="82"/>
    </w:p>
    <w:p w:rsidR="00806FB8" w:rsidRPr="00A83B39" w:rsidRDefault="00806FB8" w:rsidP="00806FB8">
      <w:pPr>
        <w:rPr>
          <w:sz w:val="24"/>
          <w:szCs w:val="24"/>
        </w:rPr>
      </w:pPr>
      <w:r w:rsidRPr="00A83B39">
        <w:rPr>
          <w:sz w:val="24"/>
          <w:szCs w:val="24"/>
        </w:rPr>
        <w:t>Compte tenu de la diversité des situations, les obligations réglementaires en termes de gestion actif-passif ne peuvent être très précises. Il est pourtant nécessaire que les entreprises accordent une importance suffisante à la gestion actif-passif, notamment lorsqu’elles prennent des engagements de long terme.</w:t>
      </w:r>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rPr>
        <w:t>La réglementation prévoit que les entreprises doivent « procéder en permanence à une évaluation de leurs risques financiers en effectuant notamment des simulations de l’impact de la variation des taux d’intérêt et des cours boursiers sur leur actif et leur passif et des estimations comparées de l’exigibilité de leur passif et de la liquidité de leur actif » (R 332-1-2). Elles doivent notamment renseigner l’état T3 et l’état C6 bis qui donne les résultats du test d’exigibilité.</w:t>
      </w:r>
    </w:p>
    <w:p w:rsidR="00806FB8" w:rsidRPr="00A83B39" w:rsidRDefault="00806FB8" w:rsidP="00806FB8">
      <w:pPr>
        <w:rPr>
          <w:sz w:val="24"/>
          <w:szCs w:val="24"/>
        </w:rPr>
      </w:pPr>
    </w:p>
    <w:p w:rsidR="00806FB8" w:rsidRPr="00A83B39" w:rsidRDefault="00806FB8" w:rsidP="00806FB8">
      <w:pPr>
        <w:pStyle w:val="ListParagraph"/>
        <w:numPr>
          <w:ilvl w:val="1"/>
          <w:numId w:val="36"/>
        </w:numPr>
        <w:ind w:left="788" w:hanging="431"/>
        <w:contextualSpacing w:val="0"/>
        <w:outlineLvl w:val="2"/>
        <w:rPr>
          <w:color w:val="000000"/>
          <w:sz w:val="24"/>
          <w:szCs w:val="24"/>
        </w:rPr>
      </w:pPr>
      <w:bookmarkStart w:id="83" w:name="_Toc351126797"/>
      <w:r w:rsidRPr="00A83B39">
        <w:rPr>
          <w:color w:val="000000"/>
          <w:sz w:val="24"/>
          <w:szCs w:val="24"/>
        </w:rPr>
        <w:t>Analyse</w:t>
      </w:r>
      <w:bookmarkEnd w:id="83"/>
    </w:p>
    <w:p w:rsidR="00806FB8" w:rsidRPr="00A83B39" w:rsidRDefault="00806FB8" w:rsidP="00806FB8">
      <w:pPr>
        <w:pStyle w:val="ListParagraph"/>
        <w:autoSpaceDE w:val="0"/>
        <w:autoSpaceDN w:val="0"/>
        <w:adjustRightInd w:val="0"/>
        <w:ind w:left="792"/>
        <w:jc w:val="left"/>
        <w:rPr>
          <w:color w:val="000000"/>
          <w:sz w:val="24"/>
          <w:szCs w:val="24"/>
        </w:rPr>
      </w:pPr>
    </w:p>
    <w:p w:rsidR="00806FB8" w:rsidRPr="00A83B39" w:rsidRDefault="00806FB8" w:rsidP="00806FB8">
      <w:pPr>
        <w:pStyle w:val="ListParagraph"/>
        <w:numPr>
          <w:ilvl w:val="2"/>
          <w:numId w:val="36"/>
        </w:numPr>
        <w:autoSpaceDE w:val="0"/>
        <w:autoSpaceDN w:val="0"/>
        <w:adjustRightInd w:val="0"/>
        <w:ind w:left="1225" w:hanging="505"/>
        <w:jc w:val="left"/>
        <w:outlineLvl w:val="3"/>
        <w:rPr>
          <w:color w:val="000000"/>
          <w:sz w:val="24"/>
          <w:szCs w:val="24"/>
        </w:rPr>
      </w:pPr>
      <w:bookmarkStart w:id="84" w:name="_Toc351126798"/>
      <w:r w:rsidRPr="00A83B39">
        <w:rPr>
          <w:color w:val="000000"/>
          <w:sz w:val="24"/>
          <w:szCs w:val="24"/>
        </w:rPr>
        <w:t>Les mécanismes prévus par la réglementation</w:t>
      </w:r>
      <w:bookmarkEnd w:id="84"/>
    </w:p>
    <w:p w:rsidR="00806FB8" w:rsidRPr="00A83B39" w:rsidRDefault="00806FB8" w:rsidP="00806FB8">
      <w:pPr>
        <w:pStyle w:val="ListParagraph"/>
        <w:autoSpaceDE w:val="0"/>
        <w:autoSpaceDN w:val="0"/>
        <w:adjustRightInd w:val="0"/>
        <w:ind w:left="1224"/>
        <w:jc w:val="left"/>
        <w:rPr>
          <w:color w:val="000000"/>
          <w:sz w:val="24"/>
          <w:szCs w:val="24"/>
        </w:rPr>
      </w:pPr>
    </w:p>
    <w:p w:rsidR="00806FB8" w:rsidRPr="00A83B39" w:rsidRDefault="00806FB8" w:rsidP="00806FB8">
      <w:pPr>
        <w:rPr>
          <w:sz w:val="24"/>
          <w:szCs w:val="24"/>
        </w:rPr>
      </w:pPr>
      <w:r w:rsidRPr="00A83B39">
        <w:rPr>
          <w:sz w:val="24"/>
          <w:szCs w:val="24"/>
        </w:rPr>
        <w:t>La réglementation prévoit plusieurs liaisons entre l’actif et le passif :</w:t>
      </w:r>
    </w:p>
    <w:p w:rsidR="00806FB8" w:rsidRPr="00A83B39" w:rsidRDefault="00806FB8" w:rsidP="00806FB8">
      <w:pPr>
        <w:numPr>
          <w:ilvl w:val="0"/>
          <w:numId w:val="40"/>
        </w:numPr>
        <w:rPr>
          <w:sz w:val="24"/>
          <w:szCs w:val="24"/>
        </w:rPr>
      </w:pPr>
      <w:r w:rsidRPr="00A83B39">
        <w:rPr>
          <w:sz w:val="24"/>
          <w:szCs w:val="24"/>
        </w:rPr>
        <w:t xml:space="preserve">la réserve de capitalisation </w:t>
      </w:r>
    </w:p>
    <w:p w:rsidR="00806FB8" w:rsidRPr="00A83B39" w:rsidRDefault="00806FB8" w:rsidP="00806FB8">
      <w:pPr>
        <w:numPr>
          <w:ilvl w:val="0"/>
          <w:numId w:val="40"/>
        </w:numPr>
        <w:rPr>
          <w:sz w:val="24"/>
          <w:szCs w:val="24"/>
        </w:rPr>
      </w:pPr>
      <w:r w:rsidRPr="00A83B39">
        <w:rPr>
          <w:sz w:val="24"/>
          <w:szCs w:val="24"/>
        </w:rPr>
        <w:t xml:space="preserve">la provision pour aléas financiers </w:t>
      </w:r>
    </w:p>
    <w:p w:rsidR="00806FB8" w:rsidRPr="00A83B39" w:rsidRDefault="00806FB8" w:rsidP="00806FB8">
      <w:pPr>
        <w:numPr>
          <w:ilvl w:val="0"/>
          <w:numId w:val="40"/>
        </w:numPr>
        <w:rPr>
          <w:sz w:val="24"/>
          <w:szCs w:val="24"/>
        </w:rPr>
      </w:pPr>
      <w:r w:rsidRPr="00A83B39">
        <w:rPr>
          <w:sz w:val="24"/>
          <w:szCs w:val="24"/>
        </w:rPr>
        <w:t>la provision globale de gestion</w:t>
      </w:r>
    </w:p>
    <w:p w:rsidR="00806FB8" w:rsidRPr="00A83B39" w:rsidRDefault="00806FB8" w:rsidP="00806FB8">
      <w:pPr>
        <w:numPr>
          <w:ilvl w:val="0"/>
          <w:numId w:val="40"/>
        </w:numPr>
        <w:rPr>
          <w:sz w:val="24"/>
          <w:szCs w:val="24"/>
        </w:rPr>
      </w:pPr>
      <w:r w:rsidRPr="00A83B39">
        <w:rPr>
          <w:sz w:val="24"/>
          <w:szCs w:val="24"/>
        </w:rPr>
        <w:t>la provision pour risque d’exigibilité</w:t>
      </w:r>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rPr>
        <w:t>Ces mécanismes réglementaires visent soit à amortir les effets d'une variation des taux soit à constater dès à présent des charges futures probables. En aucun cas, ces dispositifs à eux seuls ne constituent une politique de gestion actif passif.</w:t>
      </w:r>
    </w:p>
    <w:p w:rsidR="00806FB8" w:rsidRPr="00A83B39" w:rsidRDefault="00806FB8" w:rsidP="00806FB8">
      <w:pPr>
        <w:rPr>
          <w:sz w:val="24"/>
          <w:szCs w:val="24"/>
        </w:rPr>
      </w:pPr>
    </w:p>
    <w:p w:rsidR="00806FB8" w:rsidRPr="00A83B39" w:rsidRDefault="00806FB8" w:rsidP="00806FB8">
      <w:pPr>
        <w:pStyle w:val="ListParagraph"/>
        <w:numPr>
          <w:ilvl w:val="2"/>
          <w:numId w:val="36"/>
        </w:numPr>
        <w:autoSpaceDE w:val="0"/>
        <w:autoSpaceDN w:val="0"/>
        <w:adjustRightInd w:val="0"/>
        <w:ind w:left="1225" w:hanging="505"/>
        <w:jc w:val="left"/>
        <w:outlineLvl w:val="3"/>
        <w:rPr>
          <w:color w:val="000000"/>
          <w:sz w:val="24"/>
          <w:szCs w:val="24"/>
        </w:rPr>
      </w:pPr>
      <w:bookmarkStart w:id="85" w:name="_Toc351126799"/>
      <w:r w:rsidRPr="00A83B39">
        <w:rPr>
          <w:color w:val="000000"/>
          <w:sz w:val="24"/>
          <w:szCs w:val="24"/>
        </w:rPr>
        <w:t xml:space="preserve">La gestion </w:t>
      </w:r>
      <w:proofErr w:type="gramStart"/>
      <w:r w:rsidRPr="00A83B39">
        <w:rPr>
          <w:color w:val="000000"/>
          <w:sz w:val="24"/>
          <w:szCs w:val="24"/>
        </w:rPr>
        <w:t>actif passif</w:t>
      </w:r>
      <w:proofErr w:type="gramEnd"/>
      <w:r w:rsidRPr="00A83B39">
        <w:rPr>
          <w:color w:val="000000"/>
          <w:sz w:val="24"/>
          <w:szCs w:val="24"/>
        </w:rPr>
        <w:t xml:space="preserve"> de l’entreprise</w:t>
      </w:r>
      <w:bookmarkEnd w:id="85"/>
    </w:p>
    <w:p w:rsidR="00806FB8" w:rsidRPr="00A83B39" w:rsidRDefault="00806FB8" w:rsidP="00806FB8">
      <w:pPr>
        <w:pStyle w:val="ListParagraph"/>
        <w:autoSpaceDE w:val="0"/>
        <w:autoSpaceDN w:val="0"/>
        <w:adjustRightInd w:val="0"/>
        <w:ind w:left="1224"/>
        <w:jc w:val="left"/>
        <w:rPr>
          <w:color w:val="000000"/>
          <w:sz w:val="24"/>
          <w:szCs w:val="24"/>
        </w:rPr>
      </w:pPr>
    </w:p>
    <w:p w:rsidR="00806FB8" w:rsidRPr="00A83B39" w:rsidRDefault="00806FB8" w:rsidP="00806FB8">
      <w:pPr>
        <w:keepNext/>
        <w:rPr>
          <w:sz w:val="24"/>
          <w:szCs w:val="24"/>
        </w:rPr>
      </w:pPr>
      <w:r w:rsidRPr="00A83B39">
        <w:rPr>
          <w:sz w:val="24"/>
          <w:szCs w:val="24"/>
        </w:rPr>
        <w:t>Les questions suivantes permettent de saisir la nature et la qualité du processus de la gestion actif passif pratiquée par l’entreprise :</w:t>
      </w:r>
    </w:p>
    <w:p w:rsidR="00806FB8" w:rsidRPr="00A83B39" w:rsidRDefault="00806FB8" w:rsidP="00806FB8">
      <w:pPr>
        <w:keepNext/>
        <w:rPr>
          <w:sz w:val="24"/>
          <w:szCs w:val="24"/>
        </w:rPr>
      </w:pPr>
    </w:p>
    <w:p w:rsidR="00806FB8" w:rsidRPr="00A83B39" w:rsidRDefault="00806FB8" w:rsidP="00806FB8">
      <w:pPr>
        <w:numPr>
          <w:ilvl w:val="0"/>
          <w:numId w:val="41"/>
        </w:numPr>
        <w:rPr>
          <w:sz w:val="24"/>
          <w:szCs w:val="24"/>
        </w:rPr>
      </w:pPr>
      <w:r w:rsidRPr="00A83B39">
        <w:rPr>
          <w:sz w:val="24"/>
          <w:szCs w:val="24"/>
        </w:rPr>
        <w:t xml:space="preserve">quels sont les outils de mesure et d’analyse </w:t>
      </w:r>
      <w:proofErr w:type="gramStart"/>
      <w:r w:rsidRPr="00A83B39">
        <w:rPr>
          <w:sz w:val="24"/>
          <w:szCs w:val="24"/>
        </w:rPr>
        <w:t>des risques actif passif utilisés</w:t>
      </w:r>
      <w:proofErr w:type="gramEnd"/>
      <w:r w:rsidRPr="00A83B39">
        <w:rPr>
          <w:sz w:val="24"/>
          <w:szCs w:val="24"/>
        </w:rPr>
        <w:t xml:space="preserve"> par l’entreprise ?</w:t>
      </w:r>
    </w:p>
    <w:p w:rsidR="00806FB8" w:rsidRPr="00A83B39" w:rsidRDefault="00806FB8" w:rsidP="00806FB8">
      <w:pPr>
        <w:rPr>
          <w:sz w:val="24"/>
          <w:szCs w:val="24"/>
        </w:rPr>
      </w:pPr>
      <w:r w:rsidRPr="00A83B39">
        <w:rPr>
          <w:sz w:val="24"/>
          <w:szCs w:val="24"/>
          <w:u w:val="single"/>
        </w:rPr>
        <w:t>Remarque :</w:t>
      </w:r>
      <w:r w:rsidRPr="00A83B39">
        <w:rPr>
          <w:sz w:val="24"/>
          <w:szCs w:val="24"/>
        </w:rPr>
        <w:t xml:space="preserve"> on peut trouver plusieurs types d’outils :</w:t>
      </w:r>
    </w:p>
    <w:p w:rsidR="00806FB8" w:rsidRPr="00A83B39" w:rsidRDefault="00806FB8" w:rsidP="00806FB8">
      <w:pPr>
        <w:numPr>
          <w:ilvl w:val="0"/>
          <w:numId w:val="42"/>
        </w:numPr>
        <w:ind w:left="1560"/>
        <w:rPr>
          <w:sz w:val="24"/>
          <w:szCs w:val="24"/>
        </w:rPr>
      </w:pPr>
      <w:r w:rsidRPr="00A83B39">
        <w:rPr>
          <w:sz w:val="24"/>
          <w:szCs w:val="24"/>
        </w:rPr>
        <w:t>les outils de 1</w:t>
      </w:r>
      <w:r w:rsidRPr="00A83B39">
        <w:rPr>
          <w:sz w:val="24"/>
          <w:szCs w:val="24"/>
          <w:vertAlign w:val="superscript"/>
        </w:rPr>
        <w:t>ère</w:t>
      </w:r>
      <w:r w:rsidRPr="00A83B39">
        <w:rPr>
          <w:sz w:val="24"/>
          <w:szCs w:val="24"/>
        </w:rPr>
        <w:t xml:space="preserve"> génération : valeur actuelle nette...</w:t>
      </w:r>
    </w:p>
    <w:p w:rsidR="00806FB8" w:rsidRPr="00A83B39" w:rsidRDefault="00806FB8" w:rsidP="00806FB8">
      <w:pPr>
        <w:numPr>
          <w:ilvl w:val="0"/>
          <w:numId w:val="42"/>
        </w:numPr>
        <w:ind w:left="1560"/>
        <w:rPr>
          <w:sz w:val="24"/>
          <w:szCs w:val="24"/>
        </w:rPr>
      </w:pPr>
      <w:r w:rsidRPr="00A83B39">
        <w:rPr>
          <w:sz w:val="24"/>
          <w:szCs w:val="24"/>
        </w:rPr>
        <w:t>les outils de 2</w:t>
      </w:r>
      <w:r w:rsidRPr="00A83B39">
        <w:rPr>
          <w:sz w:val="24"/>
          <w:szCs w:val="24"/>
          <w:vertAlign w:val="superscript"/>
        </w:rPr>
        <w:t>ème</w:t>
      </w:r>
      <w:r w:rsidRPr="00A83B39">
        <w:rPr>
          <w:sz w:val="24"/>
          <w:szCs w:val="24"/>
        </w:rPr>
        <w:t xml:space="preserve"> génération : simulation actif passif avec des modèles déterministes</w:t>
      </w:r>
    </w:p>
    <w:p w:rsidR="00806FB8" w:rsidRPr="00A83B39" w:rsidRDefault="00806FB8" w:rsidP="00806FB8">
      <w:pPr>
        <w:numPr>
          <w:ilvl w:val="0"/>
          <w:numId w:val="42"/>
        </w:numPr>
        <w:ind w:left="1560"/>
        <w:rPr>
          <w:sz w:val="24"/>
          <w:szCs w:val="24"/>
        </w:rPr>
      </w:pPr>
      <w:r w:rsidRPr="00A83B39">
        <w:rPr>
          <w:sz w:val="24"/>
          <w:szCs w:val="24"/>
        </w:rPr>
        <w:t>les outils de 3</w:t>
      </w:r>
      <w:r w:rsidRPr="00A83B39">
        <w:rPr>
          <w:sz w:val="24"/>
          <w:szCs w:val="24"/>
          <w:vertAlign w:val="superscript"/>
        </w:rPr>
        <w:t>ème</w:t>
      </w:r>
      <w:r w:rsidRPr="00A83B39">
        <w:rPr>
          <w:sz w:val="24"/>
          <w:szCs w:val="24"/>
        </w:rPr>
        <w:t xml:space="preserve"> génération : simulation actif passif avec des modèles stochastiques</w:t>
      </w:r>
    </w:p>
    <w:p w:rsidR="00806FB8" w:rsidRPr="00A83B39" w:rsidRDefault="00806FB8" w:rsidP="00806FB8">
      <w:pPr>
        <w:numPr>
          <w:ilvl w:val="0"/>
          <w:numId w:val="41"/>
        </w:numPr>
        <w:spacing w:before="120"/>
        <w:ind w:left="357" w:hanging="357"/>
        <w:rPr>
          <w:sz w:val="24"/>
          <w:szCs w:val="24"/>
        </w:rPr>
      </w:pPr>
      <w:r w:rsidRPr="00A83B39">
        <w:rPr>
          <w:sz w:val="24"/>
          <w:szCs w:val="24"/>
        </w:rPr>
        <w:t xml:space="preserve">quel organe prend les décisions en matière de gestion actif passif (direction générale, comité spécifique) ? quels sont les informations qui lui sont transmises (scénarios extrêmes, informations financières seules, …) ? quelle est la fréquence de remise d’informations ? </w:t>
      </w:r>
    </w:p>
    <w:p w:rsidR="00806FB8" w:rsidRPr="00A83B39" w:rsidRDefault="00806FB8" w:rsidP="00806FB8">
      <w:pPr>
        <w:numPr>
          <w:ilvl w:val="0"/>
          <w:numId w:val="41"/>
        </w:numPr>
        <w:spacing w:before="120"/>
        <w:ind w:left="357" w:hanging="357"/>
        <w:rPr>
          <w:sz w:val="24"/>
          <w:szCs w:val="24"/>
        </w:rPr>
      </w:pPr>
      <w:r w:rsidRPr="00A83B39">
        <w:rPr>
          <w:sz w:val="24"/>
          <w:szCs w:val="24"/>
        </w:rPr>
        <w:t xml:space="preserve">comment la stratégie financière </w:t>
      </w:r>
      <w:proofErr w:type="spellStart"/>
      <w:r w:rsidRPr="00A83B39">
        <w:rPr>
          <w:sz w:val="24"/>
          <w:szCs w:val="24"/>
        </w:rPr>
        <w:t>est elle</w:t>
      </w:r>
      <w:proofErr w:type="spellEnd"/>
      <w:r w:rsidRPr="00A83B39">
        <w:rPr>
          <w:sz w:val="24"/>
          <w:szCs w:val="24"/>
        </w:rPr>
        <w:t xml:space="preserve"> </w:t>
      </w:r>
      <w:proofErr w:type="spellStart"/>
      <w:r w:rsidRPr="00A83B39">
        <w:rPr>
          <w:sz w:val="24"/>
          <w:szCs w:val="24"/>
        </w:rPr>
        <w:t>définie</w:t>
      </w:r>
      <w:proofErr w:type="spellEnd"/>
      <w:r w:rsidRPr="00A83B39">
        <w:rPr>
          <w:sz w:val="24"/>
          <w:szCs w:val="24"/>
        </w:rPr>
        <w:t xml:space="preserve"> ? y </w:t>
      </w:r>
      <w:proofErr w:type="spellStart"/>
      <w:r w:rsidRPr="00A83B39">
        <w:rPr>
          <w:sz w:val="24"/>
          <w:szCs w:val="24"/>
        </w:rPr>
        <w:t>a-t-il</w:t>
      </w:r>
      <w:proofErr w:type="spellEnd"/>
      <w:r w:rsidRPr="00A83B39">
        <w:rPr>
          <w:sz w:val="24"/>
          <w:szCs w:val="24"/>
        </w:rPr>
        <w:t xml:space="preserve"> un cahier des charges de la gestion financière (allocation stratégique et marges de manœuvre accordées au gestionnaire, règles internes de division et de contrôle des risques de signature, éventuellement définition de benchmarks, objectifs financiers et comptables, définition du </w:t>
      </w:r>
      <w:proofErr w:type="spellStart"/>
      <w:r w:rsidRPr="00A83B39">
        <w:rPr>
          <w:sz w:val="24"/>
          <w:szCs w:val="24"/>
        </w:rPr>
        <w:t>reporting</w:t>
      </w:r>
      <w:proofErr w:type="spellEnd"/>
      <w:r w:rsidRPr="00A83B39">
        <w:rPr>
          <w:sz w:val="24"/>
          <w:szCs w:val="24"/>
        </w:rPr>
        <w:t>) ?</w:t>
      </w:r>
    </w:p>
    <w:p w:rsidR="00806FB8" w:rsidRPr="00A83B39" w:rsidRDefault="00806FB8" w:rsidP="00806FB8">
      <w:pPr>
        <w:numPr>
          <w:ilvl w:val="0"/>
          <w:numId w:val="41"/>
        </w:numPr>
        <w:spacing w:before="120"/>
        <w:ind w:left="357" w:hanging="357"/>
        <w:rPr>
          <w:sz w:val="24"/>
          <w:szCs w:val="24"/>
        </w:rPr>
      </w:pPr>
      <w:r w:rsidRPr="00A83B39">
        <w:rPr>
          <w:sz w:val="24"/>
          <w:szCs w:val="24"/>
        </w:rPr>
        <w:lastRenderedPageBreak/>
        <w:t xml:space="preserve">quels ont été les objectifs (rémunération des fonds propres, …) et les contraintes (ratios réglementaires, engagements, …) pris en compte ? s’agit-il d’une gestion statique ou dynamique ? comment la solvabilité future de la société </w:t>
      </w:r>
      <w:proofErr w:type="spellStart"/>
      <w:r w:rsidRPr="00A83B39">
        <w:rPr>
          <w:sz w:val="24"/>
          <w:szCs w:val="24"/>
        </w:rPr>
        <w:t>est elle</w:t>
      </w:r>
      <w:proofErr w:type="spellEnd"/>
      <w:r w:rsidRPr="00A83B39">
        <w:rPr>
          <w:sz w:val="24"/>
          <w:szCs w:val="24"/>
        </w:rPr>
        <w:t xml:space="preserve"> prise en compte ?</w:t>
      </w:r>
    </w:p>
    <w:p w:rsidR="00806FB8" w:rsidRPr="00A83B39" w:rsidRDefault="00806FB8" w:rsidP="00806FB8">
      <w:pPr>
        <w:numPr>
          <w:ilvl w:val="0"/>
          <w:numId w:val="41"/>
        </w:numPr>
        <w:spacing w:before="120"/>
        <w:ind w:left="357" w:hanging="357"/>
        <w:rPr>
          <w:sz w:val="24"/>
          <w:szCs w:val="24"/>
        </w:rPr>
      </w:pPr>
      <w:r w:rsidRPr="00A83B39">
        <w:rPr>
          <w:sz w:val="24"/>
          <w:szCs w:val="24"/>
        </w:rPr>
        <w:t>quelle est la pertinence des modélisations utilisées ?</w:t>
      </w:r>
    </w:p>
    <w:p w:rsidR="00806FB8" w:rsidRPr="00A83B39" w:rsidRDefault="00806FB8" w:rsidP="00806FB8">
      <w:pPr>
        <w:numPr>
          <w:ilvl w:val="0"/>
          <w:numId w:val="41"/>
        </w:numPr>
        <w:spacing w:before="120"/>
        <w:ind w:left="357" w:hanging="357"/>
        <w:rPr>
          <w:sz w:val="24"/>
          <w:szCs w:val="24"/>
        </w:rPr>
      </w:pPr>
      <w:r w:rsidRPr="00A83B39">
        <w:rPr>
          <w:sz w:val="24"/>
          <w:szCs w:val="24"/>
        </w:rPr>
        <w:t>quelles sont les couvertures de risques de bilan mises en place (cantonnement, couverture financière du risque de taux, couverture financière du risque de marché, réassurance des risques actif passif) ?</w:t>
      </w:r>
    </w:p>
    <w:p w:rsidR="00806FB8" w:rsidRPr="00A83B39" w:rsidRDefault="00806FB8" w:rsidP="00806FB8">
      <w:pPr>
        <w:rPr>
          <w:sz w:val="24"/>
          <w:szCs w:val="24"/>
        </w:rPr>
      </w:pPr>
    </w:p>
    <w:p w:rsidR="00806FB8" w:rsidRPr="00A83B39" w:rsidRDefault="00806FB8" w:rsidP="00806FB8">
      <w:pPr>
        <w:rPr>
          <w:sz w:val="24"/>
          <w:szCs w:val="24"/>
        </w:rPr>
      </w:pPr>
      <w:r w:rsidRPr="00A83B39">
        <w:rPr>
          <w:sz w:val="24"/>
          <w:szCs w:val="24"/>
          <w:u w:val="single"/>
        </w:rPr>
        <w:t>Remarque :</w:t>
      </w:r>
      <w:r w:rsidRPr="00A83B39">
        <w:rPr>
          <w:sz w:val="24"/>
          <w:szCs w:val="24"/>
        </w:rPr>
        <w:t xml:space="preserve"> la gestion actif-passif ne se résume pas à une gestion d’actifs. Ce que l’on observe généralement c’est une gestion actif-passif menée soit par des spécialistes de l’actif (gérant de fonds, direction financière) soit par des spécialistes du passif (direction technique), mais avec des liens parfois insuffisants entre les deux aspects.</w:t>
      </w:r>
    </w:p>
    <w:p w:rsidR="00806FB8" w:rsidRPr="00A83B39" w:rsidRDefault="00806FB8" w:rsidP="00806FB8">
      <w:pPr>
        <w:rPr>
          <w:sz w:val="24"/>
          <w:szCs w:val="24"/>
        </w:rPr>
      </w:pPr>
    </w:p>
    <w:p w:rsidR="00806FB8" w:rsidRPr="00A83B39" w:rsidRDefault="00806FB8" w:rsidP="00806FB8">
      <w:pPr>
        <w:pStyle w:val="ListParagraph"/>
        <w:numPr>
          <w:ilvl w:val="2"/>
          <w:numId w:val="36"/>
        </w:numPr>
        <w:autoSpaceDE w:val="0"/>
        <w:autoSpaceDN w:val="0"/>
        <w:adjustRightInd w:val="0"/>
        <w:ind w:left="1225" w:hanging="505"/>
        <w:jc w:val="left"/>
        <w:outlineLvl w:val="3"/>
        <w:rPr>
          <w:color w:val="000000"/>
          <w:sz w:val="24"/>
          <w:szCs w:val="24"/>
        </w:rPr>
      </w:pPr>
      <w:bookmarkStart w:id="86" w:name="_Toc351126800"/>
      <w:r w:rsidRPr="00A83B39">
        <w:rPr>
          <w:color w:val="000000"/>
          <w:sz w:val="24"/>
          <w:szCs w:val="24"/>
        </w:rPr>
        <w:t>L’état d’analyse T3</w:t>
      </w:r>
      <w:bookmarkEnd w:id="86"/>
    </w:p>
    <w:p w:rsidR="00806FB8" w:rsidRPr="00A83B39" w:rsidRDefault="00806FB8" w:rsidP="00806FB8">
      <w:pPr>
        <w:pStyle w:val="ListParagraph"/>
        <w:autoSpaceDE w:val="0"/>
        <w:autoSpaceDN w:val="0"/>
        <w:adjustRightInd w:val="0"/>
        <w:ind w:left="1224"/>
        <w:jc w:val="left"/>
        <w:rPr>
          <w:color w:val="000000"/>
          <w:sz w:val="24"/>
          <w:szCs w:val="24"/>
        </w:rPr>
      </w:pPr>
    </w:p>
    <w:p w:rsidR="00806FB8" w:rsidRPr="00A83B39" w:rsidRDefault="00806FB8" w:rsidP="00806FB8">
      <w:pPr>
        <w:rPr>
          <w:sz w:val="24"/>
          <w:szCs w:val="24"/>
        </w:rPr>
      </w:pPr>
      <w:r w:rsidRPr="00A83B39">
        <w:rPr>
          <w:sz w:val="24"/>
          <w:szCs w:val="24"/>
        </w:rPr>
        <w:t xml:space="preserve">L’état T3 a été créé à la fin de l’année 2000 pour tester l’évolution comparée de l’actif et du passif dans des scénarios défavorables (stress </w:t>
      </w:r>
      <w:proofErr w:type="spellStart"/>
      <w:r w:rsidRPr="00A83B39">
        <w:rPr>
          <w:sz w:val="24"/>
          <w:szCs w:val="24"/>
        </w:rPr>
        <w:t>testing</w:t>
      </w:r>
      <w:proofErr w:type="spellEnd"/>
      <w:r w:rsidRPr="00A83B39">
        <w:rPr>
          <w:sz w:val="24"/>
          <w:szCs w:val="24"/>
        </w:rPr>
        <w:t xml:space="preserve">). </w:t>
      </w:r>
    </w:p>
    <w:p w:rsidR="00806FB8" w:rsidRPr="00A83B39" w:rsidRDefault="00806FB8" w:rsidP="00806FB8">
      <w:pPr>
        <w:rPr>
          <w:sz w:val="24"/>
          <w:szCs w:val="24"/>
        </w:rPr>
      </w:pPr>
      <w:r w:rsidRPr="00A83B39">
        <w:rPr>
          <w:sz w:val="24"/>
          <w:szCs w:val="24"/>
        </w:rPr>
        <w:t xml:space="preserve">L’intérêt principal de cet état est d’imposer à l’assureur d’être en mesure de modéliser tout son actif et tout son passif. </w:t>
      </w:r>
    </w:p>
    <w:p w:rsidR="00806FB8" w:rsidRPr="00A83B39" w:rsidRDefault="00806FB8" w:rsidP="00806FB8">
      <w:pPr>
        <w:rPr>
          <w:sz w:val="24"/>
          <w:szCs w:val="24"/>
        </w:rPr>
      </w:pPr>
      <w:r w:rsidRPr="00A83B39">
        <w:rPr>
          <w:sz w:val="24"/>
          <w:szCs w:val="24"/>
        </w:rPr>
        <w:t xml:space="preserve">Les sociétés d’assurance et de réassurance doivent indiquer les effets d'une évolution des taux d'intérêts, des cours d'actions et des valeurs des actifs immobiliers. </w:t>
      </w:r>
    </w:p>
    <w:p w:rsidR="00806FB8" w:rsidRPr="00A83B39" w:rsidRDefault="00806FB8" w:rsidP="00806FB8">
      <w:pPr>
        <w:rPr>
          <w:sz w:val="24"/>
          <w:szCs w:val="24"/>
        </w:rPr>
      </w:pPr>
      <w:r w:rsidRPr="00A83B39">
        <w:rPr>
          <w:sz w:val="24"/>
          <w:szCs w:val="24"/>
        </w:rPr>
        <w:t>L’état permet de mettre en regard les effets de ces variations sur les placements inscrits à l'actif du bilan et l’impact des variations de taux sur les engagements de l'assureur inscrits au passif du bilan. Les hypothèses régissant ces évolutions de marché sont précisées par la réglementation et de manière schématique peuvent être présentées de la manière suivante :</w:t>
      </w:r>
    </w:p>
    <w:p w:rsidR="00806FB8" w:rsidRPr="00A83B39" w:rsidRDefault="00806FB8" w:rsidP="00806FB8">
      <w:pPr>
        <w:rPr>
          <w:sz w:val="24"/>
          <w:szCs w:val="24"/>
        </w:rPr>
      </w:pPr>
      <w:r w:rsidRPr="00A83B39">
        <w:rPr>
          <w:sz w:val="24"/>
          <w:szCs w:val="24"/>
        </w:rPr>
        <w:t xml:space="preserve">1. </w:t>
      </w:r>
      <w:r w:rsidRPr="00A83B39">
        <w:rPr>
          <w:sz w:val="24"/>
          <w:szCs w:val="24"/>
          <w:u w:val="single"/>
        </w:rPr>
        <w:t>à l'actif du bilan:</w:t>
      </w:r>
      <w:r w:rsidRPr="00A83B39">
        <w:rPr>
          <w:sz w:val="24"/>
          <w:szCs w:val="24"/>
        </w:rPr>
        <w:t xml:space="preserve"> concernant les produits de taux, il s'agit d'une hausse (200 et 400 points de base) et d'une baisse (100, 200 et 300 points de base) du taux des emprunts d'État à dix ans. En ce qui concerne les autres actifs, il s'agit d'une baisse (10 %, 20 %, 30 %, et 40 %) par rapport à la valeur de réalisation, en distinguant d'une part les actions et actifs assimilés, et d'autre part les actifs immobiliers ;</w:t>
      </w:r>
    </w:p>
    <w:p w:rsidR="00806FB8" w:rsidRPr="00A83B39" w:rsidRDefault="00806FB8" w:rsidP="00806FB8">
      <w:pPr>
        <w:rPr>
          <w:sz w:val="24"/>
          <w:szCs w:val="24"/>
        </w:rPr>
      </w:pPr>
      <w:r w:rsidRPr="00A83B39">
        <w:rPr>
          <w:sz w:val="24"/>
          <w:szCs w:val="24"/>
        </w:rPr>
        <w:t xml:space="preserve">2. </w:t>
      </w:r>
      <w:r w:rsidRPr="00A83B39">
        <w:rPr>
          <w:sz w:val="24"/>
          <w:szCs w:val="24"/>
          <w:u w:val="single"/>
        </w:rPr>
        <w:t>au passif du bilan:</w:t>
      </w:r>
      <w:r w:rsidRPr="00A83B39">
        <w:rPr>
          <w:sz w:val="24"/>
          <w:szCs w:val="24"/>
        </w:rPr>
        <w:t xml:space="preserve"> les engagements viagers d'assurance non vie sont recalculés sur la base des taux simulés, avec prise en compte d'un abattement (30 points de base) au titre des charges de gestion, mais en conservant le plancher à la valeur de rachat. Enfin, la liquidation prévisionnelle des autres provisions techniques non vie (provisions pour primes non acquises, provision pour risques en cours, provisions pour sinistres à payer, ...) doit être indiquée pour les cinq exercices suivant l'exercice en cours, dans l'hypothèse d'une absence totale d'émission future de primes.</w:t>
      </w:r>
    </w:p>
    <w:p w:rsidR="00806FB8" w:rsidRPr="00A83B39" w:rsidRDefault="00806FB8" w:rsidP="00806FB8">
      <w:pPr>
        <w:rPr>
          <w:sz w:val="24"/>
          <w:szCs w:val="24"/>
          <w:u w:val="single"/>
        </w:rPr>
      </w:pPr>
    </w:p>
    <w:p w:rsidR="00806FB8" w:rsidRPr="00A83B39" w:rsidRDefault="00806FB8" w:rsidP="00806FB8">
      <w:pPr>
        <w:pStyle w:val="ListParagraph"/>
        <w:numPr>
          <w:ilvl w:val="2"/>
          <w:numId w:val="36"/>
        </w:numPr>
        <w:autoSpaceDE w:val="0"/>
        <w:autoSpaceDN w:val="0"/>
        <w:adjustRightInd w:val="0"/>
        <w:ind w:left="1225" w:hanging="505"/>
        <w:jc w:val="left"/>
        <w:outlineLvl w:val="3"/>
        <w:rPr>
          <w:color w:val="000000"/>
          <w:sz w:val="24"/>
          <w:szCs w:val="24"/>
        </w:rPr>
      </w:pPr>
      <w:bookmarkStart w:id="87" w:name="_Toc351126801"/>
      <w:r w:rsidRPr="00A83B39">
        <w:rPr>
          <w:color w:val="000000"/>
          <w:sz w:val="24"/>
          <w:szCs w:val="24"/>
        </w:rPr>
        <w:t>Le test d’exigibilité et l’état d’analyse C6 bis</w:t>
      </w:r>
      <w:bookmarkEnd w:id="87"/>
    </w:p>
    <w:p w:rsidR="00806FB8" w:rsidRPr="00A83B39" w:rsidRDefault="00806FB8" w:rsidP="00806FB8">
      <w:pPr>
        <w:pStyle w:val="ListParagraph"/>
        <w:autoSpaceDE w:val="0"/>
        <w:autoSpaceDN w:val="0"/>
        <w:adjustRightInd w:val="0"/>
        <w:ind w:left="1224"/>
        <w:jc w:val="left"/>
        <w:rPr>
          <w:color w:val="000000"/>
          <w:sz w:val="24"/>
          <w:szCs w:val="24"/>
        </w:rPr>
      </w:pPr>
    </w:p>
    <w:p w:rsidR="00806FB8" w:rsidRPr="00A83B39" w:rsidRDefault="00806FB8" w:rsidP="00806FB8">
      <w:pPr>
        <w:rPr>
          <w:sz w:val="24"/>
          <w:szCs w:val="24"/>
        </w:rPr>
      </w:pPr>
      <w:r w:rsidRPr="00A83B39">
        <w:rPr>
          <w:sz w:val="24"/>
          <w:szCs w:val="24"/>
        </w:rPr>
        <w:t xml:space="preserve">Le C6 bis, créé en 2004, présente les résultats du test d’exigibilité, « destiné à évaluer leur capacité à faire face à leurs engagements à l’égard des assurés dans des conditions détériorées de marché » (R 344-4). Il cherche à apprécier la capacité de l’organisme à financer, sans pertes, ses décaissements futurs, dans des hypothèses dégradées, et en </w:t>
      </w:r>
      <w:proofErr w:type="spellStart"/>
      <w:r w:rsidRPr="00A83B39">
        <w:rPr>
          <w:sz w:val="24"/>
          <w:szCs w:val="24"/>
        </w:rPr>
        <w:t>run</w:t>
      </w:r>
      <w:proofErr w:type="spellEnd"/>
      <w:r w:rsidRPr="00A83B39">
        <w:rPr>
          <w:sz w:val="24"/>
          <w:szCs w:val="24"/>
        </w:rPr>
        <w:t xml:space="preserve">-off. </w:t>
      </w:r>
    </w:p>
    <w:p w:rsidR="00806FB8" w:rsidRPr="00A83B39" w:rsidRDefault="00806FB8" w:rsidP="00806FB8">
      <w:pPr>
        <w:rPr>
          <w:sz w:val="24"/>
          <w:szCs w:val="24"/>
        </w:rPr>
      </w:pPr>
      <w:r w:rsidRPr="00A83B39">
        <w:rPr>
          <w:sz w:val="24"/>
          <w:szCs w:val="24"/>
        </w:rPr>
        <w:t>Contrairement à l’état T3, l’état C6 bis fait l’objet de préconisations précises, pour qu’il puisse servir sans contestations possibles à asseoir l’exigence par l'Autorité de contrôle de fonds propres supplémentaires.</w:t>
      </w:r>
    </w:p>
    <w:p w:rsidR="00806FB8" w:rsidRPr="00A83B39" w:rsidRDefault="00806FB8" w:rsidP="00806FB8">
      <w:pPr>
        <w:rPr>
          <w:sz w:val="24"/>
          <w:szCs w:val="24"/>
        </w:rPr>
      </w:pPr>
      <w:r w:rsidRPr="00A83B39">
        <w:rPr>
          <w:sz w:val="24"/>
          <w:szCs w:val="24"/>
        </w:rPr>
        <w:t>La projection est faite avec un horizon de 5 ans.</w:t>
      </w:r>
    </w:p>
    <w:p w:rsidR="00806FB8" w:rsidRPr="00A83B39" w:rsidRDefault="00806FB8" w:rsidP="00806FB8">
      <w:pPr>
        <w:rPr>
          <w:sz w:val="24"/>
          <w:szCs w:val="24"/>
        </w:rPr>
      </w:pPr>
      <w:r w:rsidRPr="00A83B39">
        <w:rPr>
          <w:sz w:val="24"/>
          <w:szCs w:val="24"/>
        </w:rPr>
        <w:t>La première étape consiste à évaluer les besoins de liquidité dans des hypothèses de passif dégradées (majoration des prestations de 20 % en non vie, et triplement du taux de rachat annuel moyen en vie), en comparant les encaissements et décaissements futurs découlant de ces hypothèses de passif et de la structure des placements échus pendant la période. A la fin de cette première étape, si le solde encaissements – décaissements est négatif, cela signifie que l’organisme se verrait contraint de céder des actifs.</w:t>
      </w:r>
    </w:p>
    <w:p w:rsidR="00806FB8" w:rsidRPr="00A83B39" w:rsidRDefault="00806FB8" w:rsidP="00806FB8">
      <w:pPr>
        <w:rPr>
          <w:sz w:val="24"/>
          <w:szCs w:val="24"/>
        </w:rPr>
      </w:pPr>
      <w:r w:rsidRPr="00A83B39">
        <w:rPr>
          <w:sz w:val="24"/>
          <w:szCs w:val="24"/>
        </w:rPr>
        <w:t xml:space="preserve">La deuxième étape consiste à simuler ces cessions dans des hypothèses de marché dégradées, selon quatre scénarios : une baisse des actions de 30 % ; une hausse des taux d’intérêt de deux </w:t>
      </w:r>
      <w:r w:rsidRPr="00A83B39">
        <w:rPr>
          <w:sz w:val="24"/>
          <w:szCs w:val="24"/>
        </w:rPr>
        <w:lastRenderedPageBreak/>
        <w:t>points ; une baisse de l’immobilier de 20 % ; et la combinaison des trois scénarios précédents. L’intérêt est d’observer si les besoins de liquidité identifiés dans la première étape peuvent impliquer la réalisation de moins-values de cession.</w:t>
      </w:r>
    </w:p>
    <w:p w:rsidR="00806FB8" w:rsidRPr="00A83B39" w:rsidRDefault="00806FB8" w:rsidP="00806FB8">
      <w:pPr>
        <w:rPr>
          <w:sz w:val="24"/>
          <w:szCs w:val="24"/>
        </w:rPr>
      </w:pPr>
    </w:p>
    <w:p w:rsidR="00806FB8" w:rsidRPr="00A83B39" w:rsidRDefault="00806FB8" w:rsidP="00806FB8">
      <w:pPr>
        <w:pStyle w:val="ListParagraph"/>
        <w:numPr>
          <w:ilvl w:val="1"/>
          <w:numId w:val="36"/>
        </w:numPr>
        <w:autoSpaceDE w:val="0"/>
        <w:autoSpaceDN w:val="0"/>
        <w:adjustRightInd w:val="0"/>
        <w:jc w:val="left"/>
        <w:rPr>
          <w:color w:val="000000"/>
          <w:sz w:val="24"/>
          <w:szCs w:val="24"/>
        </w:rPr>
      </w:pPr>
      <w:r w:rsidRPr="00A83B39">
        <w:rPr>
          <w:color w:val="000000"/>
          <w:sz w:val="24"/>
          <w:szCs w:val="24"/>
        </w:rPr>
        <w:t>Conséquences d’un non-respect</w:t>
      </w:r>
    </w:p>
    <w:p w:rsidR="00806FB8" w:rsidRPr="00A83B39" w:rsidRDefault="00806FB8" w:rsidP="00806FB8">
      <w:pPr>
        <w:pStyle w:val="ListParagraph"/>
        <w:autoSpaceDE w:val="0"/>
        <w:autoSpaceDN w:val="0"/>
        <w:adjustRightInd w:val="0"/>
        <w:ind w:left="792"/>
        <w:jc w:val="left"/>
        <w:rPr>
          <w:color w:val="000000"/>
          <w:sz w:val="24"/>
          <w:szCs w:val="24"/>
        </w:rPr>
      </w:pPr>
    </w:p>
    <w:p w:rsidR="00806FB8" w:rsidRPr="00A83B39" w:rsidRDefault="00806FB8" w:rsidP="00806FB8">
      <w:pPr>
        <w:rPr>
          <w:sz w:val="24"/>
          <w:szCs w:val="24"/>
        </w:rPr>
      </w:pPr>
      <w:r w:rsidRPr="00A83B39">
        <w:rPr>
          <w:sz w:val="24"/>
          <w:szCs w:val="24"/>
        </w:rPr>
        <w:t xml:space="preserve">Les insuffisances dans la gestion actif-passif sont d’autant plus dommageables que les engagements de l’assureur sont élevés et à long terme, et contraignent l’assureur. </w:t>
      </w:r>
    </w:p>
    <w:p w:rsidR="00806FB8" w:rsidRPr="00A83B39" w:rsidRDefault="00806FB8" w:rsidP="00806FB8">
      <w:pPr>
        <w:rPr>
          <w:sz w:val="24"/>
          <w:szCs w:val="24"/>
        </w:rPr>
      </w:pPr>
      <w:r w:rsidRPr="00A83B39">
        <w:rPr>
          <w:sz w:val="24"/>
          <w:szCs w:val="24"/>
        </w:rPr>
        <w:t>Ces insuffisances peuvent faire l’objet de sanctions.</w:t>
      </w:r>
    </w:p>
    <w:p w:rsidR="00806FB8" w:rsidRPr="00A83B39" w:rsidRDefault="00806FB8" w:rsidP="00806FB8">
      <w:pPr>
        <w:jc w:val="left"/>
      </w:pPr>
    </w:p>
    <w:p w:rsidR="00806FB8" w:rsidRDefault="00806FB8">
      <w:pPr>
        <w:jc w:val="left"/>
        <w:rPr>
          <w:rFonts w:ascii="TimesNewRoman" w:hAnsi="TimesNewRoman" w:cs="TimesNewRoman"/>
          <w:sz w:val="24"/>
          <w:szCs w:val="24"/>
        </w:rPr>
      </w:pPr>
    </w:p>
    <w:p w:rsidR="00D87A97" w:rsidRPr="00A83B39" w:rsidRDefault="00D87A97" w:rsidP="00D87A97"/>
    <w:p w:rsidR="00D87A97" w:rsidRPr="00A83B39" w:rsidRDefault="00D87A97" w:rsidP="00D87A97"/>
    <w:p w:rsidR="00D87A97" w:rsidRPr="00BB4E8F" w:rsidRDefault="00D87A97" w:rsidP="00D87A97">
      <w:pPr>
        <w:pBdr>
          <w:top w:val="single" w:sz="4" w:space="1" w:color="auto"/>
          <w:left w:val="single" w:sz="4" w:space="4" w:color="auto"/>
          <w:bottom w:val="single" w:sz="4" w:space="1" w:color="auto"/>
          <w:right w:val="single" w:sz="4" w:space="4" w:color="auto"/>
        </w:pBdr>
        <w:jc w:val="center"/>
        <w:outlineLvl w:val="0"/>
        <w:rPr>
          <w:rFonts w:ascii="ArialMT" w:hAnsi="ArialMT" w:cs="ArialMT"/>
          <w:b/>
          <w:color w:val="00B0F0"/>
          <w:sz w:val="24"/>
          <w:szCs w:val="22"/>
          <w:u w:val="single"/>
        </w:rPr>
      </w:pPr>
      <w:bookmarkStart w:id="88" w:name="_Toc351126802"/>
      <w:r w:rsidRPr="00BB4E8F">
        <w:rPr>
          <w:rFonts w:ascii="ArialMT" w:hAnsi="ArialMT" w:cs="ArialMT"/>
          <w:b/>
          <w:color w:val="00B0F0"/>
          <w:sz w:val="24"/>
          <w:szCs w:val="22"/>
          <w:u w:val="single"/>
        </w:rPr>
        <w:t>Partie 4 : Techniques de projection et applications aux calculs assurantiels</w:t>
      </w:r>
      <w:bookmarkEnd w:id="88"/>
    </w:p>
    <w:p w:rsidR="00D87A97" w:rsidRPr="00A83B39" w:rsidRDefault="00D87A97" w:rsidP="00D87A97">
      <w:pPr>
        <w:autoSpaceDE w:val="0"/>
        <w:autoSpaceDN w:val="0"/>
        <w:adjustRightInd w:val="0"/>
        <w:jc w:val="left"/>
        <w:rPr>
          <w:rFonts w:ascii="ArialMT" w:hAnsi="ArialMT" w:cs="ArialMT"/>
          <w:szCs w:val="22"/>
        </w:rPr>
      </w:pPr>
    </w:p>
    <w:p w:rsidR="00D87A97" w:rsidRPr="00E87F18" w:rsidRDefault="00D87A97" w:rsidP="00D87A97">
      <w:pPr>
        <w:spacing w:before="100" w:beforeAutospacing="1" w:after="100" w:afterAutospacing="1"/>
        <w:rPr>
          <w:b/>
          <w:sz w:val="24"/>
          <w:szCs w:val="24"/>
          <w:u w:val="single"/>
        </w:rPr>
      </w:pPr>
      <w:bookmarkStart w:id="89" w:name="_Toc351126803"/>
      <w:r w:rsidRPr="00E87F18">
        <w:rPr>
          <w:b/>
          <w:sz w:val="24"/>
          <w:szCs w:val="24"/>
          <w:u w:val="single"/>
        </w:rPr>
        <w:t>Plan de la partie :</w:t>
      </w:r>
    </w:p>
    <w:p w:rsidR="00D87A97" w:rsidRPr="00E87F18" w:rsidRDefault="00D87A97" w:rsidP="00D87A97">
      <w:pPr>
        <w:numPr>
          <w:ilvl w:val="0"/>
          <w:numId w:val="7"/>
        </w:numPr>
        <w:spacing w:before="100" w:beforeAutospacing="1" w:after="100" w:afterAutospacing="1"/>
        <w:rPr>
          <w:b/>
          <w:sz w:val="24"/>
          <w:szCs w:val="24"/>
        </w:rPr>
      </w:pPr>
      <w:r w:rsidRPr="00E87F18">
        <w:rPr>
          <w:b/>
          <w:sz w:val="24"/>
          <w:szCs w:val="24"/>
        </w:rPr>
        <w:t>Ajustements et régressions</w:t>
      </w:r>
    </w:p>
    <w:p w:rsidR="00D87A97" w:rsidRPr="00E87F18" w:rsidRDefault="00D87A97" w:rsidP="00D87A97">
      <w:pPr>
        <w:numPr>
          <w:ilvl w:val="0"/>
          <w:numId w:val="7"/>
        </w:numPr>
        <w:spacing w:before="100" w:beforeAutospacing="1" w:after="100" w:afterAutospacing="1"/>
        <w:rPr>
          <w:b/>
          <w:sz w:val="24"/>
          <w:szCs w:val="24"/>
        </w:rPr>
      </w:pPr>
      <w:r w:rsidRPr="00E87F18">
        <w:rPr>
          <w:b/>
          <w:sz w:val="24"/>
          <w:szCs w:val="24"/>
        </w:rPr>
        <w:t>Séries chronologiques</w:t>
      </w:r>
    </w:p>
    <w:p w:rsidR="00D87A97" w:rsidRDefault="00D87A97" w:rsidP="00D87A97">
      <w:pPr>
        <w:pStyle w:val="ListParagraph"/>
        <w:ind w:left="357"/>
        <w:contextualSpacing w:val="0"/>
        <w:outlineLvl w:val="1"/>
        <w:rPr>
          <w:color w:val="000000"/>
          <w:szCs w:val="22"/>
        </w:rPr>
      </w:pPr>
    </w:p>
    <w:p w:rsidR="00D87A97" w:rsidRDefault="00D87A97" w:rsidP="00D87A97">
      <w:pPr>
        <w:pStyle w:val="ListParagraph"/>
        <w:ind w:left="357"/>
        <w:contextualSpacing w:val="0"/>
        <w:outlineLvl w:val="1"/>
        <w:rPr>
          <w:color w:val="000000"/>
          <w:szCs w:val="22"/>
        </w:rPr>
      </w:pPr>
    </w:p>
    <w:p w:rsidR="00D87A97" w:rsidRPr="00A83B39" w:rsidRDefault="00D87A97" w:rsidP="00D87A97">
      <w:pPr>
        <w:pStyle w:val="ListParagraph"/>
        <w:numPr>
          <w:ilvl w:val="0"/>
          <w:numId w:val="37"/>
        </w:numPr>
        <w:ind w:left="357" w:hanging="357"/>
        <w:contextualSpacing w:val="0"/>
        <w:outlineLvl w:val="1"/>
        <w:rPr>
          <w:color w:val="000000"/>
          <w:szCs w:val="22"/>
        </w:rPr>
      </w:pPr>
      <w:r w:rsidRPr="00A83B39">
        <w:rPr>
          <w:color w:val="000000"/>
          <w:szCs w:val="22"/>
        </w:rPr>
        <w:t>Techniques d'ajustement</w:t>
      </w:r>
      <w:bookmarkEnd w:id="89"/>
    </w:p>
    <w:p w:rsidR="00D87A97" w:rsidRPr="00A83B39" w:rsidRDefault="00D87A97" w:rsidP="00D87A97">
      <w:pPr>
        <w:pStyle w:val="ListParagraph"/>
        <w:autoSpaceDE w:val="0"/>
        <w:autoSpaceDN w:val="0"/>
        <w:adjustRightInd w:val="0"/>
        <w:jc w:val="left"/>
        <w:rPr>
          <w:color w:val="000000"/>
          <w:szCs w:val="22"/>
        </w:rPr>
      </w:pPr>
    </w:p>
    <w:p w:rsidR="00D87A97" w:rsidRPr="00A83B39" w:rsidRDefault="00D87A97" w:rsidP="00D87A97">
      <w:pPr>
        <w:pStyle w:val="ListParagraph"/>
        <w:numPr>
          <w:ilvl w:val="1"/>
          <w:numId w:val="38"/>
        </w:numPr>
        <w:ind w:left="788" w:hanging="431"/>
        <w:contextualSpacing w:val="0"/>
        <w:outlineLvl w:val="2"/>
        <w:rPr>
          <w:color w:val="000000"/>
          <w:szCs w:val="22"/>
        </w:rPr>
      </w:pPr>
      <w:bookmarkStart w:id="90" w:name="_Toc351126804"/>
      <w:r w:rsidRPr="00A83B39">
        <w:rPr>
          <w:color w:val="000000"/>
          <w:szCs w:val="22"/>
        </w:rPr>
        <w:t>Courbe d'ajustement</w:t>
      </w:r>
      <w:bookmarkEnd w:id="90"/>
    </w:p>
    <w:p w:rsidR="00D87A97" w:rsidRPr="00A83B39" w:rsidRDefault="00D87A97" w:rsidP="00D87A97">
      <w:pPr>
        <w:pStyle w:val="ListParagraph"/>
        <w:autoSpaceDE w:val="0"/>
        <w:autoSpaceDN w:val="0"/>
        <w:adjustRightInd w:val="0"/>
        <w:ind w:left="792"/>
        <w:jc w:val="left"/>
        <w:rPr>
          <w:color w:val="000000"/>
          <w:szCs w:val="22"/>
        </w:rPr>
      </w:pPr>
    </w:p>
    <w:p w:rsidR="00D87A97" w:rsidRPr="00A83B39" w:rsidRDefault="00D87A97" w:rsidP="00D87A97">
      <w:pPr>
        <w:pStyle w:val="Default"/>
        <w:jc w:val="both"/>
        <w:rPr>
          <w:rStyle w:val="SC3526"/>
        </w:rPr>
      </w:pPr>
      <w:r w:rsidRPr="00A83B39">
        <w:rPr>
          <w:rStyle w:val="SC3526"/>
        </w:rPr>
        <w:t xml:space="preserve">Soit un échantillon de taille </w:t>
      </w:r>
      <w:r w:rsidRPr="00A83B39">
        <w:rPr>
          <w:rStyle w:val="SC3526"/>
          <w:i/>
          <w:iCs/>
        </w:rPr>
        <w:t xml:space="preserve">n </w:t>
      </w:r>
      <w:r w:rsidRPr="00A83B39">
        <w:rPr>
          <w:rStyle w:val="SC3526"/>
        </w:rPr>
        <w:t>ayant comme mesures x</w:t>
      </w:r>
      <w:r w:rsidRPr="00A83B39">
        <w:rPr>
          <w:rStyle w:val="SC3526"/>
          <w:vertAlign w:val="subscript"/>
        </w:rPr>
        <w:t>1</w:t>
      </w:r>
      <w:r w:rsidRPr="00A83B39">
        <w:rPr>
          <w:rStyle w:val="SC3526"/>
        </w:rPr>
        <w:t>, x</w:t>
      </w:r>
      <w:r w:rsidRPr="00A83B39">
        <w:rPr>
          <w:rStyle w:val="SC3526"/>
          <w:vertAlign w:val="subscript"/>
        </w:rPr>
        <w:t>2</w:t>
      </w:r>
      <w:r w:rsidRPr="00A83B39">
        <w:rPr>
          <w:rStyle w:val="SC3526"/>
        </w:rPr>
        <w:t xml:space="preserve">, ..., </w:t>
      </w:r>
      <w:proofErr w:type="spellStart"/>
      <w:r w:rsidRPr="00A83B39">
        <w:rPr>
          <w:rStyle w:val="SC3526"/>
        </w:rPr>
        <w:t>x</w:t>
      </w:r>
      <w:r w:rsidRPr="00A83B39">
        <w:rPr>
          <w:rStyle w:val="SC3526"/>
          <w:vertAlign w:val="subscript"/>
        </w:rPr>
        <w:t>n</w:t>
      </w:r>
      <w:proofErr w:type="spellEnd"/>
      <w:r w:rsidRPr="00A83B39">
        <w:rPr>
          <w:rStyle w:val="SC3526"/>
        </w:rPr>
        <w:t xml:space="preserve"> et </w:t>
      </w:r>
      <w:r w:rsidRPr="00A83B39">
        <w:rPr>
          <w:rFonts w:ascii="Times New Roman" w:hAnsi="Times New Roman" w:cs="Times New Roman"/>
          <w:i/>
          <w:iCs/>
        </w:rPr>
        <w:t>y</w:t>
      </w:r>
      <w:r w:rsidRPr="00A83B39">
        <w:rPr>
          <w:rFonts w:ascii="Times New Roman" w:hAnsi="Times New Roman" w:cs="Times New Roman"/>
          <w:vertAlign w:val="subscript"/>
        </w:rPr>
        <w:t>1</w:t>
      </w:r>
      <w:r w:rsidRPr="00A83B39">
        <w:rPr>
          <w:rFonts w:ascii="Times New Roman" w:hAnsi="Times New Roman" w:cs="Times New Roman"/>
        </w:rPr>
        <w:t xml:space="preserve">, </w:t>
      </w:r>
      <w:r w:rsidRPr="00A83B39">
        <w:rPr>
          <w:rFonts w:ascii="Times New Roman" w:hAnsi="Times New Roman" w:cs="Times New Roman"/>
          <w:i/>
          <w:iCs/>
        </w:rPr>
        <w:t>y</w:t>
      </w:r>
      <w:r w:rsidRPr="00A83B39">
        <w:rPr>
          <w:rFonts w:ascii="Times New Roman" w:hAnsi="Times New Roman" w:cs="Times New Roman"/>
          <w:vertAlign w:val="subscript"/>
        </w:rPr>
        <w:t>2</w:t>
      </w:r>
      <w:r w:rsidRPr="00A83B39">
        <w:rPr>
          <w:rFonts w:ascii="Times New Roman" w:hAnsi="Times New Roman" w:cs="Times New Roman"/>
        </w:rPr>
        <w:t xml:space="preserve">, ..., </w:t>
      </w:r>
      <w:proofErr w:type="spellStart"/>
      <w:r w:rsidRPr="00A83B39">
        <w:rPr>
          <w:rFonts w:ascii="Times New Roman" w:hAnsi="Times New Roman" w:cs="Times New Roman"/>
          <w:i/>
          <w:iCs/>
        </w:rPr>
        <w:t>y</w:t>
      </w:r>
      <w:r w:rsidRPr="00A83B39">
        <w:rPr>
          <w:rFonts w:ascii="Times New Roman" w:hAnsi="Times New Roman" w:cs="Times New Roman"/>
          <w:vertAlign w:val="subscript"/>
        </w:rPr>
        <w:t>n</w:t>
      </w:r>
      <w:proofErr w:type="spellEnd"/>
      <w:r w:rsidRPr="00A83B39">
        <w:rPr>
          <w:rStyle w:val="SC3526"/>
        </w:rPr>
        <w:t>.</w:t>
      </w:r>
    </w:p>
    <w:p w:rsidR="00D87A97" w:rsidRPr="00A83B39" w:rsidRDefault="00D87A97" w:rsidP="00D87A97">
      <w:pPr>
        <w:pStyle w:val="Default"/>
        <w:jc w:val="both"/>
        <w:rPr>
          <w:rFonts w:ascii="Times New Roman" w:hAnsi="Times New Roman" w:cs="Times New Roman"/>
        </w:rPr>
      </w:pPr>
      <w:r w:rsidRPr="00A83B39">
        <w:rPr>
          <w:rStyle w:val="SC3526"/>
        </w:rPr>
        <w:t>On peut reporter l’ensemble de ces points sur un graphique orthonormé et on obtient un nuage de points (</w:t>
      </w:r>
      <w:r w:rsidRPr="00A83B39">
        <w:rPr>
          <w:rStyle w:val="SC3526"/>
          <w:i/>
          <w:iCs/>
        </w:rPr>
        <w:t>diagramme de dispersion</w:t>
      </w:r>
      <w:r w:rsidRPr="00A83B39">
        <w:rPr>
          <w:rStyle w:val="SC3526"/>
        </w:rPr>
        <w:t xml:space="preserve">). Sur ce graphique, on peut souvent tracer une courbe épousant au mieux les données, c’est la </w:t>
      </w:r>
      <w:r w:rsidRPr="00A83B39">
        <w:rPr>
          <w:rStyle w:val="SC3526"/>
          <w:i/>
          <w:iCs/>
        </w:rPr>
        <w:t>courbe d’ajustement</w:t>
      </w:r>
      <w:r w:rsidRPr="00A83B39">
        <w:rPr>
          <w:rStyle w:val="SC3526"/>
        </w:rPr>
        <w:t>.</w:t>
      </w: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Au vu du diagramme de dispersion, on peut alors essayer de trouver une forme analytique de cette courbe d’ajustement.</w:t>
      </w:r>
    </w:p>
    <w:p w:rsidR="00D87A97" w:rsidRPr="00A83B39" w:rsidRDefault="00D87A97" w:rsidP="00D87A97">
      <w:pPr>
        <w:pStyle w:val="Default"/>
        <w:rPr>
          <w:rFonts w:ascii="Times New Roman" w:hAnsi="Times New Roman" w:cs="Times New Roman"/>
          <w:sz w:val="23"/>
        </w:rPr>
      </w:pPr>
    </w:p>
    <w:p w:rsidR="00D87A97" w:rsidRPr="00A83B39" w:rsidRDefault="00D87A97" w:rsidP="00D87A97">
      <w:pPr>
        <w:pStyle w:val="ListParagraph"/>
        <w:numPr>
          <w:ilvl w:val="1"/>
          <w:numId w:val="38"/>
        </w:numPr>
        <w:ind w:left="788" w:hanging="431"/>
        <w:contextualSpacing w:val="0"/>
        <w:outlineLvl w:val="2"/>
        <w:rPr>
          <w:color w:val="000000"/>
          <w:szCs w:val="22"/>
        </w:rPr>
      </w:pPr>
      <w:bookmarkStart w:id="91" w:name="_Toc351126805"/>
      <w:r w:rsidRPr="00A83B39">
        <w:rPr>
          <w:color w:val="000000"/>
          <w:szCs w:val="22"/>
        </w:rPr>
        <w:t>La méthode des moindres carrés</w:t>
      </w:r>
      <w:bookmarkEnd w:id="91"/>
    </w:p>
    <w:p w:rsidR="00D87A97" w:rsidRPr="00A83B39" w:rsidRDefault="00D87A97" w:rsidP="00D87A97">
      <w:pPr>
        <w:pStyle w:val="Default"/>
        <w:rPr>
          <w:rFonts w:ascii="Times New Roman" w:hAnsi="Times New Roman" w:cs="Times New Roman"/>
          <w:i/>
          <w:iCs/>
          <w:sz w:val="32"/>
        </w:rPr>
      </w:pPr>
    </w:p>
    <w:p w:rsidR="00D87A97" w:rsidRPr="00A83B39" w:rsidRDefault="00D87A97" w:rsidP="00D87A97">
      <w:pPr>
        <w:pStyle w:val="ListParagraph"/>
        <w:numPr>
          <w:ilvl w:val="2"/>
          <w:numId w:val="38"/>
        </w:numPr>
        <w:autoSpaceDE w:val="0"/>
        <w:autoSpaceDN w:val="0"/>
        <w:adjustRightInd w:val="0"/>
        <w:ind w:left="1225" w:hanging="505"/>
        <w:jc w:val="left"/>
        <w:outlineLvl w:val="3"/>
        <w:rPr>
          <w:color w:val="000000"/>
          <w:szCs w:val="22"/>
        </w:rPr>
      </w:pPr>
      <w:bookmarkStart w:id="92" w:name="_Toc351126806"/>
      <w:r w:rsidRPr="00A83B39">
        <w:rPr>
          <w:color w:val="000000"/>
          <w:szCs w:val="22"/>
        </w:rPr>
        <w:t>Ajustement linéaire</w:t>
      </w:r>
      <w:bookmarkEnd w:id="92"/>
    </w:p>
    <w:p w:rsidR="00D87A97" w:rsidRPr="00A83B39" w:rsidRDefault="00D87A97" w:rsidP="00D87A97">
      <w:pPr>
        <w:pStyle w:val="Default"/>
        <w:rPr>
          <w:rFonts w:ascii="Times New Roman" w:hAnsi="Times New Roman" w:cs="Times New Roman"/>
          <w:sz w:val="23"/>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 xml:space="preserve">Soit </w:t>
      </w:r>
      <w:r w:rsidRPr="00A83B39">
        <w:rPr>
          <w:rFonts w:ascii="Times New Roman" w:hAnsi="Times New Roman" w:cs="Times New Roman"/>
          <w:i/>
          <w:iCs/>
        </w:rPr>
        <w:t xml:space="preserve">n </w:t>
      </w:r>
      <w:r w:rsidRPr="00A83B39">
        <w:rPr>
          <w:rFonts w:ascii="Times New Roman" w:hAnsi="Times New Roman" w:cs="Times New Roman"/>
        </w:rPr>
        <w:t xml:space="preserve">points </w:t>
      </w:r>
      <w:r w:rsidRPr="00A83B39">
        <w:rPr>
          <w:rFonts w:ascii="Times New Roman" w:hAnsi="Times New Roman" w:cs="Times New Roman"/>
          <w:i/>
          <w:iCs/>
        </w:rPr>
        <w:t xml:space="preserve">Pi </w:t>
      </w:r>
      <w:r w:rsidRPr="00A83B39">
        <w:rPr>
          <w:rFonts w:ascii="Times New Roman" w:hAnsi="Times New Roman" w:cs="Times New Roman"/>
        </w:rPr>
        <w:t>de coordonnées (</w:t>
      </w:r>
      <w:r w:rsidRPr="00A83B39">
        <w:rPr>
          <w:rFonts w:ascii="Times New Roman" w:hAnsi="Times New Roman" w:cs="Times New Roman"/>
          <w:i/>
          <w:iCs/>
        </w:rPr>
        <w:t>xi</w:t>
      </w:r>
      <w:r w:rsidRPr="00A83B39">
        <w:rPr>
          <w:rFonts w:ascii="Times New Roman" w:hAnsi="Times New Roman" w:cs="Times New Roman"/>
        </w:rPr>
        <w:t xml:space="preserve">, </w:t>
      </w:r>
      <w:r w:rsidRPr="00A83B39">
        <w:rPr>
          <w:rFonts w:ascii="Times New Roman" w:hAnsi="Times New Roman" w:cs="Times New Roman"/>
          <w:i/>
          <w:iCs/>
        </w:rPr>
        <w:t>yi</w:t>
      </w:r>
      <w:r w:rsidRPr="00A83B39">
        <w:rPr>
          <w:rFonts w:ascii="Times New Roman" w:hAnsi="Times New Roman" w:cs="Times New Roman"/>
        </w:rPr>
        <w:t xml:space="preserve">). Il s’agit de trouver les coefficients </w:t>
      </w:r>
      <w:r w:rsidRPr="00A83B39">
        <w:rPr>
          <w:rFonts w:ascii="Times New Roman" w:hAnsi="Times New Roman" w:cs="Times New Roman"/>
          <w:i/>
          <w:iCs/>
        </w:rPr>
        <w:t xml:space="preserve">a </w:t>
      </w:r>
      <w:r w:rsidRPr="00A83B39">
        <w:rPr>
          <w:rFonts w:ascii="Times New Roman" w:hAnsi="Times New Roman" w:cs="Times New Roman"/>
        </w:rPr>
        <w:t xml:space="preserve">et </w:t>
      </w:r>
      <w:r w:rsidRPr="00A83B39">
        <w:rPr>
          <w:rFonts w:ascii="Times New Roman" w:hAnsi="Times New Roman" w:cs="Times New Roman"/>
          <w:i/>
          <w:iCs/>
        </w:rPr>
        <w:t xml:space="preserve">b </w:t>
      </w:r>
      <w:r w:rsidRPr="00A83B39">
        <w:rPr>
          <w:rFonts w:ascii="Times New Roman" w:hAnsi="Times New Roman" w:cs="Times New Roman"/>
        </w:rPr>
        <w:t xml:space="preserve">d’une droite </w:t>
      </w:r>
      <w:r w:rsidRPr="00A83B39">
        <w:rPr>
          <w:rFonts w:ascii="Times New Roman" w:hAnsi="Times New Roman" w:cs="Times New Roman"/>
          <w:i/>
          <w:iCs/>
        </w:rPr>
        <w:t xml:space="preserve">y </w:t>
      </w:r>
      <w:r w:rsidRPr="00A83B39">
        <w:rPr>
          <w:rFonts w:ascii="Times New Roman" w:hAnsi="Times New Roman" w:cs="Times New Roman"/>
        </w:rPr>
        <w:t xml:space="preserve">tel que la somme des carrés des distances verticales depuis les points </w:t>
      </w:r>
      <w:r w:rsidRPr="00A83B39">
        <w:rPr>
          <w:rFonts w:ascii="Times New Roman" w:hAnsi="Times New Roman" w:cs="Times New Roman"/>
          <w:i/>
          <w:iCs/>
        </w:rPr>
        <w:t xml:space="preserve">Pi </w:t>
      </w:r>
      <w:r w:rsidRPr="00A83B39">
        <w:rPr>
          <w:rFonts w:ascii="Times New Roman" w:hAnsi="Times New Roman" w:cs="Times New Roman"/>
        </w:rPr>
        <w:t xml:space="preserve">jusqu’à la droite </w:t>
      </w:r>
      <w:r w:rsidRPr="00A83B39">
        <w:rPr>
          <w:rFonts w:ascii="Times New Roman" w:hAnsi="Times New Roman" w:cs="Times New Roman"/>
          <w:i/>
          <w:iCs/>
        </w:rPr>
        <w:t xml:space="preserve">y </w:t>
      </w:r>
      <w:r w:rsidRPr="00A83B39">
        <w:rPr>
          <w:rFonts w:ascii="Times New Roman" w:hAnsi="Times New Roman" w:cs="Times New Roman"/>
        </w:rPr>
        <w:t>soit minimale.</w:t>
      </w:r>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 xml:space="preserve">L’écart de la droite </w:t>
      </w:r>
      <w:r w:rsidRPr="00A83B39">
        <w:rPr>
          <w:i/>
          <w:iCs/>
          <w:color w:val="000000"/>
          <w:sz w:val="24"/>
          <w:szCs w:val="24"/>
        </w:rPr>
        <w:t xml:space="preserve">y </w:t>
      </w:r>
      <w:r w:rsidRPr="00A83B39">
        <w:rPr>
          <w:color w:val="000000"/>
          <w:sz w:val="24"/>
          <w:szCs w:val="24"/>
        </w:rPr>
        <w:t xml:space="preserve">par rapport à un point </w:t>
      </w:r>
      <w:r w:rsidRPr="00A83B39">
        <w:rPr>
          <w:i/>
          <w:iCs/>
          <w:color w:val="000000"/>
          <w:sz w:val="24"/>
          <w:szCs w:val="24"/>
        </w:rPr>
        <w:t xml:space="preserve">Pi </w:t>
      </w:r>
      <w:r w:rsidRPr="00A83B39">
        <w:rPr>
          <w:color w:val="000000"/>
          <w:sz w:val="24"/>
          <w:szCs w:val="24"/>
        </w:rPr>
        <w:t xml:space="preserve">est donné par </w:t>
      </w:r>
    </w:p>
    <w:p w:rsidR="00D87A97" w:rsidRPr="00D87A97" w:rsidRDefault="00D87A97" w:rsidP="00D87A97">
      <w:pPr>
        <w:autoSpaceDE w:val="0"/>
        <w:autoSpaceDN w:val="0"/>
        <w:adjustRightInd w:val="0"/>
        <w:spacing w:before="280" w:after="140"/>
        <w:rPr>
          <w:color w:val="000000"/>
          <w:sz w:val="24"/>
          <w:szCs w:val="24"/>
        </w:rPr>
      </w:pPr>
      <m:oMathPara>
        <m:oMath>
          <m:sSub>
            <m:sSubPr>
              <m:ctrlPr>
                <w:rPr>
                  <w:rFonts w:ascii="Cambria Math" w:hAnsi="Cambria Math"/>
                  <w:i/>
                  <w:color w:val="000000"/>
                  <w:sz w:val="24"/>
                  <w:szCs w:val="24"/>
                </w:rPr>
              </m:ctrlPr>
            </m:sSubPr>
            <m:e>
              <m:r>
                <w:rPr>
                  <w:rFonts w:ascii="Cambria Math" w:hAnsi="Cambria Math"/>
                  <w:color w:val="000000"/>
                  <w:sz w:val="24"/>
                  <w:szCs w:val="24"/>
                </w:rPr>
                <m:t>e</m:t>
              </m:r>
            </m:e>
            <m:sub>
              <m:r>
                <w:rPr>
                  <w:rFonts w:ascii="Cambria Math" w:hAnsi="Cambria Math"/>
                  <w:color w:val="000000"/>
                  <w:sz w:val="24"/>
                  <w:szCs w:val="24"/>
                </w:rPr>
                <m:t>i</m:t>
              </m:r>
            </m:sub>
          </m:sSub>
          <m:r>
            <w:rPr>
              <w:rFonts w:asci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i</m:t>
              </m:r>
            </m:sub>
          </m:sSub>
          <m:r>
            <w:rPr>
              <w:rFonts w:ascii="Cambria Math" w:hAnsi="Cambria Math"/>
              <w:color w:val="000000"/>
              <w:sz w:val="24"/>
              <w:szCs w:val="24"/>
            </w:rPr>
            <m:t>-</m:t>
          </m:r>
          <m:d>
            <m:dPr>
              <m:ctrlPr>
                <w:rPr>
                  <w:rFonts w:ascii="Cambria Math" w:hAnsi="Cambria Math"/>
                  <w:i/>
                  <w:color w:val="000000"/>
                  <w:sz w:val="24"/>
                  <w:szCs w:val="24"/>
                </w:rPr>
              </m:ctrlPr>
            </m:dPr>
            <m:e>
              <m:r>
                <w:rPr>
                  <w:rFonts w:ascii="Cambria Math" w:hAnsi="Cambria Math"/>
                  <w:color w:val="000000"/>
                  <w:sz w:val="24"/>
                  <w:szCs w:val="24"/>
                </w:rPr>
                <m:t>a</m:t>
              </m:r>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color w:val="000000"/>
                  <w:sz w:val="24"/>
                  <w:szCs w:val="24"/>
                </w:rPr>
                <m:t>+</m:t>
              </m:r>
              <m:r>
                <w:rPr>
                  <w:rFonts w:ascii="Cambria Math" w:hAnsi="Cambria Math"/>
                  <w:color w:val="000000"/>
                  <w:sz w:val="24"/>
                  <w:szCs w:val="24"/>
                </w:rPr>
                <m:t>b</m:t>
              </m:r>
            </m:e>
          </m:d>
          <m:r>
            <w:rPr>
              <w:rFonts w:ascii="Cambria Math"/>
              <w:color w:val="000000"/>
              <w:sz w:val="24"/>
              <w:szCs w:val="24"/>
            </w:rPr>
            <m:t xml:space="preserve">   </m:t>
          </m:r>
        </m:oMath>
      </m:oMathPara>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 xml:space="preserve">Si nous mesurons la distance le long de l’axe des </w:t>
      </w:r>
      <w:r w:rsidRPr="00A83B39">
        <w:rPr>
          <w:i/>
          <w:iCs/>
          <w:color w:val="000000"/>
          <w:sz w:val="24"/>
          <w:szCs w:val="24"/>
        </w:rPr>
        <w:t xml:space="preserve">y </w:t>
      </w:r>
      <w:r w:rsidRPr="00A83B39">
        <w:rPr>
          <w:color w:val="000000"/>
          <w:sz w:val="24"/>
          <w:szCs w:val="24"/>
        </w:rPr>
        <w:t xml:space="preserve">depuis le point </w:t>
      </w:r>
      <w:r w:rsidRPr="00A83B39">
        <w:rPr>
          <w:i/>
          <w:iCs/>
          <w:color w:val="000000"/>
          <w:sz w:val="24"/>
          <w:szCs w:val="24"/>
        </w:rPr>
        <w:t xml:space="preserve">Pi </w:t>
      </w:r>
      <w:r w:rsidRPr="00A83B39">
        <w:rPr>
          <w:color w:val="000000"/>
          <w:sz w:val="24"/>
          <w:szCs w:val="24"/>
        </w:rPr>
        <w:t xml:space="preserve">jusqu’à l’ordonnée du point </w:t>
      </w:r>
      <w:r w:rsidRPr="00A83B39">
        <w:rPr>
          <w:i/>
          <w:iCs/>
          <w:color w:val="000000"/>
          <w:sz w:val="24"/>
          <w:szCs w:val="24"/>
        </w:rPr>
        <w:t xml:space="preserve">xi </w:t>
      </w:r>
      <w:r w:rsidRPr="00A83B39">
        <w:rPr>
          <w:color w:val="000000"/>
          <w:sz w:val="24"/>
          <w:szCs w:val="24"/>
        </w:rPr>
        <w:t xml:space="preserve">sur la droite </w:t>
      </w:r>
      <w:r w:rsidRPr="00A83B39">
        <w:rPr>
          <w:i/>
          <w:iCs/>
          <w:color w:val="000000"/>
          <w:sz w:val="24"/>
          <w:szCs w:val="24"/>
        </w:rPr>
        <w:t>y</w:t>
      </w:r>
      <w:r w:rsidRPr="00A83B39">
        <w:rPr>
          <w:color w:val="000000"/>
          <w:sz w:val="24"/>
          <w:szCs w:val="24"/>
        </w:rPr>
        <w:t xml:space="preserve">. Un tel écart peut être négatif ou positif et c’est pourquoi nous ne minimisons pas la somme des écarts, mais la somme des carrés des écarts. On a ainsi </w:t>
      </w:r>
    </w:p>
    <w:p w:rsidR="00D87A97" w:rsidRPr="00D87A97" w:rsidRDefault="00D87A97" w:rsidP="00D87A97">
      <w:pPr>
        <w:autoSpaceDE w:val="0"/>
        <w:autoSpaceDN w:val="0"/>
        <w:adjustRightInd w:val="0"/>
        <w:spacing w:before="280" w:after="140"/>
        <w:rPr>
          <w:color w:val="000000"/>
          <w:sz w:val="24"/>
          <w:szCs w:val="24"/>
          <w:lang w:val="en-US"/>
        </w:rPr>
      </w:pPr>
      <m:oMathPara>
        <m:oMath>
          <m:r>
            <w:rPr>
              <w:rFonts w:ascii="Cambria Math" w:hAnsi="Cambria Math"/>
              <w:color w:val="000000"/>
              <w:sz w:val="24"/>
              <w:szCs w:val="24"/>
            </w:rPr>
            <m:t>E</m:t>
          </m:r>
          <m:r>
            <w:rPr>
              <w:rFonts w:ascii="Cambria Math"/>
              <w:color w:val="000000"/>
              <w:sz w:val="24"/>
              <w:szCs w:val="24"/>
              <w:lang w:val="en-US"/>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m:t>
              </m:r>
              <m:r>
                <w:rPr>
                  <w:rFonts w:ascii="Cambria Math"/>
                  <w:color w:val="000000"/>
                  <w:sz w:val="24"/>
                  <w:szCs w:val="24"/>
                  <w:lang w:val="en-US"/>
                </w:rPr>
                <m:t>=1</m:t>
              </m:r>
            </m:sub>
            <m:sup>
              <m:r>
                <w:rPr>
                  <w:rFonts w:ascii="Cambria Math" w:hAnsi="Cambria Math"/>
                  <w:color w:val="000000"/>
                  <w:sz w:val="24"/>
                  <w:szCs w:val="24"/>
                </w:rPr>
                <m:t>n</m:t>
              </m:r>
            </m:sup>
            <m:e>
              <m:sSup>
                <m:sSupPr>
                  <m:ctrlPr>
                    <w:rPr>
                      <w:rFonts w:ascii="Cambria Math" w:hAnsi="Cambria Math"/>
                      <w:i/>
                      <w:color w:val="000000"/>
                      <w:sz w:val="24"/>
                      <w:szCs w:val="24"/>
                    </w:rPr>
                  </m:ctrlPr>
                </m:sSupPr>
                <m:e>
                  <m:sSub>
                    <m:sSubPr>
                      <m:ctrlPr>
                        <w:rPr>
                          <w:rFonts w:ascii="Cambria Math" w:hAnsi="Cambria Math"/>
                          <w:i/>
                          <w:color w:val="000000"/>
                          <w:sz w:val="24"/>
                          <w:szCs w:val="24"/>
                        </w:rPr>
                      </m:ctrlPr>
                    </m:sSubPr>
                    <m:e>
                      <m:r>
                        <w:rPr>
                          <w:rFonts w:ascii="Cambria Math" w:hAnsi="Cambria Math"/>
                          <w:color w:val="000000"/>
                          <w:sz w:val="24"/>
                          <w:szCs w:val="24"/>
                        </w:rPr>
                        <m:t>e</m:t>
                      </m:r>
                    </m:e>
                    <m:sub>
                      <m:r>
                        <w:rPr>
                          <w:rFonts w:ascii="Cambria Math" w:hAnsi="Cambria Math"/>
                          <w:color w:val="000000"/>
                          <w:sz w:val="24"/>
                          <w:szCs w:val="24"/>
                        </w:rPr>
                        <m:t>i</m:t>
                      </m:r>
                    </m:sub>
                  </m:sSub>
                </m:e>
                <m:sup>
                  <m:r>
                    <w:rPr>
                      <w:rFonts w:ascii="Cambria Math"/>
                      <w:color w:val="000000"/>
                      <w:sz w:val="24"/>
                      <w:szCs w:val="24"/>
                      <w:lang w:val="en-US"/>
                    </w:rPr>
                    <m:t>2</m:t>
                  </m:r>
                </m:sup>
              </m:sSup>
            </m:e>
          </m:nary>
          <m:r>
            <w:rPr>
              <w:rFonts w:ascii="Cambria Math"/>
              <w:color w:val="000000"/>
              <w:sz w:val="24"/>
              <w:szCs w:val="24"/>
              <w:lang w:val="en-US"/>
            </w:rPr>
            <m:t>=</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m:t>
              </m:r>
              <m:r>
                <w:rPr>
                  <w:rFonts w:ascii="Cambria Math"/>
                  <w:color w:val="000000"/>
                  <w:sz w:val="24"/>
                  <w:szCs w:val="24"/>
                  <w:lang w:val="en-US"/>
                </w:rPr>
                <m:t>=1</m:t>
              </m:r>
            </m:sub>
            <m:sup>
              <m:r>
                <w:rPr>
                  <w:rFonts w:ascii="Cambria Math" w:hAnsi="Cambria Math"/>
                  <w:color w:val="000000"/>
                  <w:sz w:val="24"/>
                  <w:szCs w:val="24"/>
                </w:rPr>
                <m:t>n</m:t>
              </m:r>
            </m:sup>
            <m:e>
              <m:sSup>
                <m:sSupPr>
                  <m:ctrlPr>
                    <w:rPr>
                      <w:rFonts w:ascii="Cambria Math" w:hAnsi="Cambria Math"/>
                      <w:i/>
                      <w:color w:val="000000"/>
                      <w:sz w:val="24"/>
                      <w:szCs w:val="24"/>
                    </w:rPr>
                  </m:ctrlPr>
                </m:sSupPr>
                <m:e>
                  <m:d>
                    <m:dPr>
                      <m:begChr m:val="["/>
                      <m:endChr m:val="]"/>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i</m:t>
                          </m:r>
                        </m:sub>
                      </m:sSub>
                      <m:r>
                        <w:rPr>
                          <w:rFonts w:ascii="Cambria Math" w:hAnsi="Cambria Math"/>
                          <w:color w:val="000000"/>
                          <w:sz w:val="24"/>
                          <w:szCs w:val="24"/>
                          <w:lang w:val="en-US"/>
                        </w:rPr>
                        <m:t>-</m:t>
                      </m:r>
                      <m:d>
                        <m:dPr>
                          <m:ctrlPr>
                            <w:rPr>
                              <w:rFonts w:ascii="Cambria Math" w:hAnsi="Cambria Math"/>
                              <w:i/>
                              <w:color w:val="000000"/>
                              <w:sz w:val="24"/>
                              <w:szCs w:val="24"/>
                            </w:rPr>
                          </m:ctrlPr>
                        </m:dPr>
                        <m:e>
                          <m:r>
                            <w:rPr>
                              <w:rFonts w:ascii="Cambria Math" w:hAnsi="Cambria Math"/>
                              <w:color w:val="000000"/>
                              <w:sz w:val="24"/>
                              <w:szCs w:val="24"/>
                            </w:rPr>
                            <m:t>a</m:t>
                          </m:r>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color w:val="000000"/>
                              <w:sz w:val="24"/>
                              <w:szCs w:val="24"/>
                              <w:lang w:val="en-US"/>
                            </w:rPr>
                            <m:t>+</m:t>
                          </m:r>
                          <m:r>
                            <w:rPr>
                              <w:rFonts w:ascii="Cambria Math" w:hAnsi="Cambria Math"/>
                              <w:color w:val="000000"/>
                              <w:sz w:val="24"/>
                              <w:szCs w:val="24"/>
                            </w:rPr>
                            <m:t>b</m:t>
                          </m:r>
                        </m:e>
                      </m:d>
                    </m:e>
                  </m:d>
                </m:e>
                <m:sup>
                  <m:r>
                    <w:rPr>
                      <w:rFonts w:ascii="Cambria Math"/>
                      <w:color w:val="000000"/>
                      <w:sz w:val="24"/>
                      <w:szCs w:val="24"/>
                      <w:lang w:val="en-US"/>
                    </w:rPr>
                    <m:t>2</m:t>
                  </m:r>
                </m:sup>
              </m:sSup>
            </m:e>
          </m:nary>
          <m:r>
            <w:rPr>
              <w:rFonts w:ascii="Cambria Math"/>
              <w:color w:val="000000"/>
              <w:sz w:val="24"/>
              <w:szCs w:val="24"/>
              <w:lang w:val="en-US"/>
            </w:rPr>
            <m:t xml:space="preserve"> =</m:t>
          </m:r>
          <m:nary>
            <m:naryPr>
              <m:chr m:val="∑"/>
              <m:limLoc m:val="undOvr"/>
              <m:ctrlPr>
                <w:rPr>
                  <w:rFonts w:ascii="Cambria Math" w:hAnsi="Cambria Math"/>
                  <w:i/>
                  <w:color w:val="000000"/>
                  <w:sz w:val="24"/>
                  <w:szCs w:val="24"/>
                </w:rPr>
              </m:ctrlPr>
            </m:naryPr>
            <m:sub>
              <m:r>
                <w:rPr>
                  <w:rFonts w:ascii="Cambria Math" w:hAnsi="Cambria Math"/>
                  <w:color w:val="000000"/>
                  <w:sz w:val="24"/>
                  <w:szCs w:val="24"/>
                </w:rPr>
                <m:t>i</m:t>
              </m:r>
              <m:r>
                <w:rPr>
                  <w:rFonts w:ascii="Cambria Math"/>
                  <w:color w:val="000000"/>
                  <w:sz w:val="24"/>
                  <w:szCs w:val="24"/>
                </w:rPr>
                <m:t>=1</m:t>
              </m:r>
            </m:sub>
            <m:sup>
              <m:r>
                <w:rPr>
                  <w:rFonts w:ascii="Cambria Math" w:hAnsi="Cambria Math"/>
                  <w:color w:val="000000"/>
                  <w:sz w:val="24"/>
                  <w:szCs w:val="24"/>
                </w:rPr>
                <m:t>n</m:t>
              </m:r>
            </m:sup>
            <m:e>
              <m:sSup>
                <m:sSupPr>
                  <m:ctrlPr>
                    <w:rPr>
                      <w:rFonts w:ascii="Cambria Math" w:hAnsi="Cambria Math"/>
                      <w:i/>
                      <w:color w:val="000000"/>
                      <w:sz w:val="24"/>
                      <w:szCs w:val="24"/>
                    </w:rPr>
                  </m:ctrlPr>
                </m:sSupPr>
                <m:e>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i</m:t>
                          </m:r>
                        </m:sub>
                      </m:sSub>
                      <m:r>
                        <w:rPr>
                          <w:rFonts w:ascii="Cambria Math" w:hAnsi="Cambria Math"/>
                          <w:color w:val="000000"/>
                          <w:sz w:val="24"/>
                          <w:szCs w:val="24"/>
                        </w:rPr>
                        <m:t>-a</m:t>
                      </m:r>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rPr>
                        <m:t>-b</m:t>
                      </m:r>
                    </m:e>
                  </m:d>
                </m:e>
                <m:sup>
                  <m:r>
                    <w:rPr>
                      <w:rFonts w:ascii="Cambria Math"/>
                      <w:color w:val="000000"/>
                      <w:sz w:val="24"/>
                      <w:szCs w:val="24"/>
                    </w:rPr>
                    <m:t>2</m:t>
                  </m:r>
                </m:sup>
              </m:sSup>
              <m:r>
                <w:rPr>
                  <w:rFonts w:ascii="Cambria Math"/>
                  <w:color w:val="000000"/>
                  <w:sz w:val="24"/>
                  <w:szCs w:val="24"/>
                </w:rPr>
                <m:t xml:space="preserve">     </m:t>
              </m:r>
            </m:e>
          </m:nary>
          <m:r>
            <w:rPr>
              <w:rFonts w:ascii="Cambria Math"/>
              <w:color w:val="000000"/>
              <w:sz w:val="24"/>
              <w:szCs w:val="24"/>
              <w:lang w:val="en-US"/>
            </w:rPr>
            <m:t xml:space="preserve">(#)       </m:t>
          </m:r>
        </m:oMath>
      </m:oMathPara>
    </w:p>
    <w:p w:rsidR="00D87A97" w:rsidRPr="00A83B39" w:rsidRDefault="00D87A97" w:rsidP="00D87A97">
      <w:pPr>
        <w:autoSpaceDE w:val="0"/>
        <w:autoSpaceDN w:val="0"/>
        <w:adjustRightInd w:val="0"/>
        <w:spacing w:before="280" w:after="140"/>
        <w:rPr>
          <w:color w:val="000000"/>
          <w:sz w:val="24"/>
          <w:szCs w:val="24"/>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 xml:space="preserve">Le but est de minimiser </w:t>
      </w:r>
      <w:r w:rsidRPr="00A83B39">
        <w:rPr>
          <w:rFonts w:ascii="Times New Roman" w:hAnsi="Times New Roman" w:cs="Times New Roman"/>
          <w:i/>
          <w:iCs/>
        </w:rPr>
        <w:t xml:space="preserve">E </w:t>
      </w:r>
      <w:r w:rsidRPr="00A83B39">
        <w:rPr>
          <w:rFonts w:ascii="Times New Roman" w:hAnsi="Times New Roman" w:cs="Times New Roman"/>
        </w:rPr>
        <w:t xml:space="preserve">en fonction de </w:t>
      </w:r>
      <w:r w:rsidRPr="00A83B39">
        <w:rPr>
          <w:rFonts w:ascii="Times New Roman" w:hAnsi="Times New Roman" w:cs="Times New Roman"/>
          <w:i/>
          <w:iCs/>
        </w:rPr>
        <w:t xml:space="preserve">a </w:t>
      </w:r>
      <w:r w:rsidRPr="00A83B39">
        <w:rPr>
          <w:rFonts w:ascii="Times New Roman" w:hAnsi="Times New Roman" w:cs="Times New Roman"/>
        </w:rPr>
        <w:t xml:space="preserve">et de </w:t>
      </w:r>
      <w:r w:rsidRPr="00A83B39">
        <w:rPr>
          <w:rFonts w:ascii="Times New Roman" w:hAnsi="Times New Roman" w:cs="Times New Roman"/>
          <w:i/>
          <w:iCs/>
        </w:rPr>
        <w:t xml:space="preserve">b </w:t>
      </w:r>
      <w:r w:rsidRPr="00A83B39">
        <w:rPr>
          <w:rFonts w:ascii="Times New Roman" w:hAnsi="Times New Roman" w:cs="Times New Roman"/>
        </w:rPr>
        <w:t xml:space="preserve">; </w:t>
      </w:r>
      <w:r w:rsidRPr="00A83B39">
        <w:rPr>
          <w:rFonts w:ascii="Times New Roman" w:hAnsi="Times New Roman" w:cs="Times New Roman"/>
          <w:i/>
          <w:iCs/>
        </w:rPr>
        <w:t xml:space="preserve">xi </w:t>
      </w:r>
      <w:r w:rsidRPr="00A83B39">
        <w:rPr>
          <w:rFonts w:ascii="Times New Roman" w:hAnsi="Times New Roman" w:cs="Times New Roman"/>
        </w:rPr>
        <w:t xml:space="preserve">et </w:t>
      </w:r>
      <w:r w:rsidRPr="00A83B39">
        <w:rPr>
          <w:rFonts w:ascii="Times New Roman" w:hAnsi="Times New Roman" w:cs="Times New Roman"/>
          <w:i/>
          <w:iCs/>
        </w:rPr>
        <w:t xml:space="preserve">yi </w:t>
      </w:r>
      <w:r w:rsidRPr="00A83B39">
        <w:rPr>
          <w:rFonts w:ascii="Times New Roman" w:hAnsi="Times New Roman" w:cs="Times New Roman"/>
        </w:rPr>
        <w:t>étant des données constantes.</w:t>
      </w: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Après calculs, on trouve :</w:t>
      </w:r>
    </w:p>
    <w:p w:rsidR="00D87A97" w:rsidRPr="00A83B39" w:rsidRDefault="00D87A97" w:rsidP="00D87A97">
      <w:pPr>
        <w:pStyle w:val="Default"/>
        <w:jc w:val="both"/>
        <w:rPr>
          <w:rFonts w:ascii="Times New Roman" w:hAnsi="Times New Roman" w:cs="Times New Roman"/>
        </w:rPr>
      </w:pPr>
    </w:p>
    <w:p w:rsidR="00D87A97" w:rsidRPr="00D87A97" w:rsidRDefault="00D87A97" w:rsidP="00D87A97">
      <w:pPr>
        <w:pStyle w:val="Default"/>
        <w:jc w:val="both"/>
        <w:rPr>
          <w:rFonts w:ascii="Times New Roman" w:hAnsi="Times New Roman" w:cs="Times New Roman"/>
        </w:rPr>
      </w:pPr>
      <m:oMathPara>
        <m:oMath>
          <m:r>
            <w:rPr>
              <w:rFonts w:ascii="Cambria Math" w:hAnsi="Cambria Math"/>
            </w:rPr>
            <m:t>a</m:t>
          </m:r>
          <m:r>
            <w:rPr>
              <w:rFonts w:ascii="Cambria Math"/>
              <w:lang w:val="en-US"/>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r>
                    <w:rPr>
                      <w:rFonts w:ascii="Cambria Math"/>
                    </w:rPr>
                    <m:t>(</m:t>
                  </m:r>
                </m:e>
              </m:nary>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rPr>
                <m:t>)</m:t>
              </m:r>
            </m:num>
            <m:den>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rPr>
                        <m:t>2</m:t>
                      </m:r>
                    </m:sup>
                  </m:sSup>
                </m:e>
              </m:nary>
            </m:den>
          </m:f>
          <m:r>
            <w:rPr>
              <w:rFonts w:ascii="Cambria Math"/>
            </w:rPr>
            <m:t xml:space="preserve">     (</m:t>
          </m:r>
          <m:r>
            <w:rPr>
              <w:rFonts w:ascii="Cambria Math" w:hAnsi="Cambria Math"/>
            </w:rPr>
            <m:t>*</m:t>
          </m:r>
          <m:r>
            <w:rPr>
              <w:rFonts w:ascii="Cambria Math"/>
            </w:rPr>
            <m:t>)</m:t>
          </m:r>
        </m:oMath>
      </m:oMathPara>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 xml:space="preserve">Et  </w:t>
      </w:r>
      <m:oMath>
        <m:r>
          <w:rPr>
            <w:rFonts w:ascii="Cambria Math" w:hAnsi="Cambria Math"/>
          </w:rPr>
          <m:t>b</m:t>
        </m:r>
        <m:r>
          <w:rPr>
            <w:rFonts w:ascii="Cambria Math"/>
          </w:rPr>
          <m:t>=</m:t>
        </m:r>
        <m:acc>
          <m:accPr>
            <m:chr m:val="̅"/>
            <m:ctrlPr>
              <w:rPr>
                <w:rFonts w:ascii="Cambria Math" w:hAnsi="Cambria Math"/>
                <w:i/>
              </w:rPr>
            </m:ctrlPr>
          </m:accPr>
          <m:e>
            <m:r>
              <w:rPr>
                <w:rFonts w:ascii="Cambria Math" w:hAnsi="Cambria Math"/>
              </w:rPr>
              <m:t>y</m:t>
            </m:r>
          </m:e>
        </m:acc>
        <m:r>
          <w:rPr>
            <w:rFonts w:ascii="Cambria Math" w:hAnsi="Cambria Math"/>
          </w:rPr>
          <m:t>-a</m:t>
        </m:r>
        <m:acc>
          <m:accPr>
            <m:chr m:val="̅"/>
            <m:ctrlPr>
              <w:rPr>
                <w:rFonts w:ascii="Cambria Math" w:hAnsi="Cambria Math"/>
                <w:i/>
              </w:rPr>
            </m:ctrlPr>
          </m:accPr>
          <m:e>
            <m:r>
              <w:rPr>
                <w:rFonts w:ascii="Cambria Math" w:hAnsi="Cambria Math"/>
              </w:rPr>
              <m:t>x</m:t>
            </m:r>
          </m:e>
        </m:acc>
      </m:oMath>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 xml:space="preserve">La covariance et la variance étant définies ainsi : </w:t>
      </w: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m:oMathPara>
        <m:oMath>
          <m:r>
            <w:rPr>
              <w:rFonts w:ascii="Cambria Math" w:hAnsi="Cambria Math"/>
            </w:rPr>
            <m:t>Cov</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f>
            <m:fPr>
              <m:ctrlPr>
                <w:rPr>
                  <w:rFonts w:ascii="Cambria Math" w:hAnsi="Cambria Math"/>
                  <w:i/>
                </w:rPr>
              </m:ctrlPr>
            </m:fPr>
            <m:num>
              <m:r>
                <w:rPr>
                  <w:rFonts w:asci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r>
                <w:rPr>
                  <w:rFonts w:ascii="Cambria Math"/>
                </w:rPr>
                <m:t>(</m:t>
              </m:r>
            </m:e>
          </m:nary>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rPr>
            <m:t>)</m:t>
          </m:r>
          <m:r>
            <w:rPr>
              <w:rFonts w:ascii="Cambria Math" w:hAnsi="Times New Roman" w:cs="Times New Roman"/>
            </w:rPr>
            <w:br/>
          </m:r>
        </m:oMath>
        <m:oMath>
          <m:r>
            <w:rPr>
              <w:rFonts w:ascii="Cambria Math" w:hAnsi="Cambria Math"/>
            </w:rPr>
            <m:t>V</m:t>
          </m:r>
          <m:d>
            <m:dPr>
              <m:ctrlPr>
                <w:rPr>
                  <w:rFonts w:ascii="Cambria Math" w:hAnsi="Cambria Math"/>
                  <w:i/>
                </w:rPr>
              </m:ctrlPr>
            </m:dPr>
            <m:e>
              <m:r>
                <w:rPr>
                  <w:rFonts w:ascii="Cambria Math" w:hAnsi="Cambria Math"/>
                </w:rPr>
                <m:t>x</m:t>
              </m:r>
            </m:e>
          </m:d>
          <m:r>
            <w:rPr>
              <w:rFonts w:ascii="Cambria Math"/>
            </w:rPr>
            <m:t>=</m:t>
          </m:r>
          <m:f>
            <m:fPr>
              <m:ctrlPr>
                <w:rPr>
                  <w:rFonts w:ascii="Cambria Math" w:hAnsi="Cambria Math"/>
                  <w:i/>
                </w:rPr>
              </m:ctrlPr>
            </m:fPr>
            <m:num>
              <m:r>
                <w:rPr>
                  <w:rFonts w:asci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rPr>
                    <m:t>2</m:t>
                  </m:r>
                </m:sup>
              </m:sSup>
            </m:e>
          </m:nary>
        </m:oMath>
      </m:oMathPara>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L'expression (*) peut aussi s’écrire :</w:t>
      </w:r>
    </w:p>
    <w:p w:rsidR="00D87A97" w:rsidRPr="00A83B39" w:rsidRDefault="00D87A97" w:rsidP="00D87A97">
      <w:pPr>
        <w:pStyle w:val="Default"/>
        <w:jc w:val="both"/>
        <w:rPr>
          <w:rFonts w:ascii="Times New Roman" w:hAnsi="Times New Roman" w:cs="Times New Roman"/>
        </w:rPr>
      </w:pPr>
    </w:p>
    <w:p w:rsidR="00D87A97" w:rsidRPr="00D87A97" w:rsidRDefault="00D87A97" w:rsidP="00D87A97">
      <w:pPr>
        <w:pStyle w:val="Default"/>
        <w:jc w:val="both"/>
        <w:rPr>
          <w:rFonts w:ascii="Times New Roman" w:hAnsi="Times New Roman" w:cs="Times New Roman"/>
        </w:rPr>
      </w:pPr>
      <m:oMathPara>
        <m:oMath>
          <m:r>
            <w:rPr>
              <w:rFonts w:ascii="Cambria Math" w:hAnsi="Cambria Math"/>
            </w:rPr>
            <m:t>a</m:t>
          </m:r>
          <m:r>
            <w:rPr>
              <w:rFonts w:ascii="Cambria Math"/>
              <w:lang w:val="en-US"/>
            </w:rPr>
            <m:t>=</m:t>
          </m:r>
          <m:f>
            <m:fPr>
              <m:ctrlPr>
                <w:rPr>
                  <w:rFonts w:ascii="Cambria Math" w:hAnsi="Cambria Math"/>
                  <w:i/>
                </w:rPr>
              </m:ctrlPr>
            </m:fPr>
            <m:num>
              <m:r>
                <w:rPr>
                  <w:rFonts w:ascii="Cambria Math" w:hAnsi="Cambria Math"/>
                </w:rPr>
                <m:t>Cov</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num>
            <m:den>
              <m:r>
                <w:rPr>
                  <w:rFonts w:ascii="Cambria Math" w:hAnsi="Cambria Math"/>
                </w:rPr>
                <m:t>V</m:t>
              </m:r>
              <m:r>
                <w:rPr>
                  <w:rFonts w:ascii="Cambria Math"/>
                </w:rPr>
                <m:t>(</m:t>
              </m:r>
              <m:r>
                <w:rPr>
                  <w:rFonts w:ascii="Cambria Math" w:hAnsi="Cambria Math"/>
                </w:rPr>
                <m:t>x</m:t>
              </m:r>
              <m:r>
                <w:rPr>
                  <w:rFonts w:ascii="Cambria Math"/>
                </w:rPr>
                <m:t>)</m:t>
              </m:r>
            </m:den>
          </m:f>
        </m:oMath>
      </m:oMathPara>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 xml:space="preserve">Pour résumer, la droite des moindre carrés de </w:t>
      </w:r>
      <w:proofErr w:type="spellStart"/>
      <w:r w:rsidRPr="00A83B39">
        <w:rPr>
          <w:rFonts w:ascii="Times New Roman" w:hAnsi="Times New Roman" w:cs="Times New Roman"/>
        </w:rPr>
        <w:t>y en</w:t>
      </w:r>
      <w:proofErr w:type="spellEnd"/>
      <w:r w:rsidRPr="00A83B39">
        <w:rPr>
          <w:rFonts w:ascii="Times New Roman" w:hAnsi="Times New Roman" w:cs="Times New Roman"/>
        </w:rPr>
        <w:t xml:space="preserve"> x passe par le point "moyen" de coordonnées</w:t>
      </w:r>
      <m:oMath>
        <m:r>
          <w:rPr>
            <w:rFonts w:ascii="Cambria Math"/>
          </w:rPr>
          <m:t>(</m:t>
        </m:r>
        <m:acc>
          <m:accPr>
            <m:chr m:val="̅"/>
            <m:ctrlPr>
              <w:rPr>
                <w:rFonts w:ascii="Cambria Math" w:hAnsi="Cambria Math"/>
                <w:i/>
              </w:rPr>
            </m:ctrlPr>
          </m:accPr>
          <m:e>
            <m:r>
              <w:rPr>
                <w:rFonts w:ascii="Cambria Math" w:hAnsi="Cambria Math"/>
              </w:rPr>
              <m:t>x</m:t>
            </m:r>
          </m:e>
        </m:acc>
        <m:r>
          <w:rPr>
            <w:rFonts w:ascii="Cambria Math"/>
          </w:rPr>
          <m:t>,</m:t>
        </m:r>
        <m:acc>
          <m:accPr>
            <m:chr m:val="̅"/>
            <m:ctrlPr>
              <w:rPr>
                <w:rFonts w:ascii="Cambria Math" w:hAnsi="Cambria Math"/>
                <w:i/>
              </w:rPr>
            </m:ctrlPr>
          </m:accPr>
          <m:e>
            <m:r>
              <w:rPr>
                <w:rFonts w:ascii="Cambria Math" w:hAnsi="Cambria Math"/>
              </w:rPr>
              <m:t>y</m:t>
            </m:r>
          </m:e>
        </m:acc>
        <m:r>
          <w:rPr>
            <w:rFonts w:ascii="Cambria Math"/>
          </w:rPr>
          <m:t>)</m:t>
        </m:r>
      </m:oMath>
      <w:r w:rsidRPr="00A83B39">
        <w:rPr>
          <w:rFonts w:ascii="Times New Roman" w:hAnsi="Times New Roman" w:cs="Times New Roman"/>
        </w:rPr>
        <w:t xml:space="preserve">, a pour pente </w:t>
      </w:r>
      <m:oMath>
        <m:r>
          <w:rPr>
            <w:rFonts w:ascii="Cambria Math" w:hAnsi="Cambria Math"/>
          </w:rPr>
          <m:t>a</m:t>
        </m:r>
        <m:r>
          <w:rPr>
            <w:rFonts w:ascii="Cambria Math"/>
          </w:rPr>
          <m:t>=</m:t>
        </m:r>
        <m:f>
          <m:fPr>
            <m:ctrlPr>
              <w:rPr>
                <w:rFonts w:ascii="Cambria Math" w:hAnsi="Cambria Math"/>
                <w:i/>
              </w:rPr>
            </m:ctrlPr>
          </m:fPr>
          <m:num>
            <m:r>
              <w:rPr>
                <w:rFonts w:ascii="Cambria Math" w:hAnsi="Cambria Math"/>
              </w:rPr>
              <m:t>Cov</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num>
          <m:den>
            <m:r>
              <w:rPr>
                <w:rFonts w:ascii="Cambria Math" w:hAnsi="Cambria Math"/>
              </w:rPr>
              <m:t>V</m:t>
            </m:r>
            <m:r>
              <w:rPr>
                <w:rFonts w:ascii="Cambria Math"/>
              </w:rPr>
              <m:t>(</m:t>
            </m:r>
            <m:r>
              <w:rPr>
                <w:rFonts w:ascii="Cambria Math" w:hAnsi="Cambria Math"/>
              </w:rPr>
              <m:t>x</m:t>
            </m:r>
            <m:r>
              <w:rPr>
                <w:rFonts w:ascii="Cambria Math"/>
              </w:rPr>
              <m:t>)</m:t>
            </m:r>
          </m:den>
        </m:f>
      </m:oMath>
      <w:r w:rsidRPr="00A83B39">
        <w:rPr>
          <w:rFonts w:ascii="Times New Roman" w:hAnsi="Times New Roman" w:cs="Times New Roman"/>
        </w:rPr>
        <w:t xml:space="preserve"> et comme ordonnée à </w:t>
      </w:r>
      <w:proofErr w:type="gramStart"/>
      <w:r w:rsidRPr="00A83B39">
        <w:rPr>
          <w:rFonts w:ascii="Times New Roman" w:hAnsi="Times New Roman" w:cs="Times New Roman"/>
        </w:rPr>
        <w:t xml:space="preserve">l’origine </w:t>
      </w:r>
      <w:proofErr w:type="gramEnd"/>
      <m:oMath>
        <m:r>
          <w:rPr>
            <w:rFonts w:ascii="Cambria Math" w:hAnsi="Cambria Math"/>
          </w:rPr>
          <m:t>b</m:t>
        </m:r>
        <m:r>
          <w:rPr>
            <w:rFonts w:ascii="Cambria Math"/>
          </w:rPr>
          <m:t>=</m:t>
        </m:r>
        <m:acc>
          <m:accPr>
            <m:chr m:val="̅"/>
            <m:ctrlPr>
              <w:rPr>
                <w:rFonts w:ascii="Cambria Math" w:hAnsi="Cambria Math"/>
                <w:i/>
              </w:rPr>
            </m:ctrlPr>
          </m:accPr>
          <m:e>
            <m:r>
              <w:rPr>
                <w:rFonts w:ascii="Cambria Math" w:hAnsi="Cambria Math"/>
              </w:rPr>
              <m:t>y</m:t>
            </m:r>
          </m:e>
        </m:acc>
        <m:r>
          <w:rPr>
            <w:rFonts w:ascii="Cambria Math" w:hAnsi="Cambria Math"/>
          </w:rPr>
          <m:t>-a</m:t>
        </m:r>
        <m:acc>
          <m:accPr>
            <m:chr m:val="̅"/>
            <m:ctrlPr>
              <w:rPr>
                <w:rFonts w:ascii="Cambria Math" w:hAnsi="Cambria Math"/>
                <w:i/>
              </w:rPr>
            </m:ctrlPr>
          </m:accPr>
          <m:e>
            <m:r>
              <w:rPr>
                <w:rFonts w:ascii="Cambria Math" w:hAnsi="Cambria Math"/>
              </w:rPr>
              <m:t>x</m:t>
            </m:r>
          </m:e>
        </m:acc>
      </m:oMath>
      <w:r w:rsidRPr="00A83B39">
        <w:rPr>
          <w:rFonts w:ascii="Times New Roman" w:hAnsi="Times New Roman" w:cs="Times New Roman"/>
        </w:rPr>
        <w:t>.</w:t>
      </w: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En pratique, on peut simplifier les calculs à l'aide de la formule suivante :</w:t>
      </w:r>
    </w:p>
    <w:p w:rsidR="00D87A97" w:rsidRPr="00A83B39" w:rsidRDefault="00D87A97" w:rsidP="00D87A97">
      <w:pPr>
        <w:pStyle w:val="Default"/>
        <w:jc w:val="both"/>
        <w:rPr>
          <w:rFonts w:ascii="Times New Roman" w:hAnsi="Times New Roman" w:cs="Times New Roman"/>
        </w:rPr>
      </w:pPr>
    </w:p>
    <w:p w:rsidR="00D87A97" w:rsidRPr="00D87A97" w:rsidRDefault="00D87A97" w:rsidP="00D87A97">
      <w:pPr>
        <w:pStyle w:val="Default"/>
        <w:jc w:val="both"/>
        <w:rPr>
          <w:rFonts w:ascii="Times New Roman" w:hAnsi="Times New Roman" w:cs="Times New Roman"/>
        </w:rPr>
      </w:pPr>
      <m:oMathPara>
        <m:oMath>
          <m:r>
            <w:rPr>
              <w:rFonts w:ascii="Cambria Math" w:hAnsi="Cambria Math"/>
            </w:rPr>
            <m:t>a</m:t>
          </m:r>
          <m:r>
            <w:rPr>
              <w:rFonts w:ascii="Cambria Math"/>
            </w:rPr>
            <m:t>=</m:t>
          </m:r>
          <m:f>
            <m:fPr>
              <m:ctrlPr>
                <w:rPr>
                  <w:rFonts w:ascii="Cambria Math" w:hAnsi="Cambria Math"/>
                  <w:i/>
                </w:rPr>
              </m:ctrlPr>
            </m:fPr>
            <m:num>
              <m:r>
                <w:rPr>
                  <w:rFonts w:ascii="Cambria Math" w:hAnsi="Cambria Math"/>
                </w:rPr>
                <m:t>Cov</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num>
            <m:den>
              <m:r>
                <w:rPr>
                  <w:rFonts w:ascii="Cambria Math" w:hAnsi="Cambria Math"/>
                </w:rPr>
                <m:t>V</m:t>
              </m:r>
              <m:r>
                <w:rPr>
                  <w:rFonts w:ascii="Cambria Math"/>
                </w:rPr>
                <m:t>(</m:t>
              </m:r>
              <m:r>
                <w:rPr>
                  <w:rFonts w:ascii="Cambria Math" w:hAnsi="Cambria Math"/>
                </w:rPr>
                <m:t>x</m:t>
              </m:r>
              <m:r>
                <w:rPr>
                  <w:rFonts w:ascii="Cambria Math"/>
                </w:rPr>
                <m:t>)</m:t>
              </m:r>
            </m:den>
          </m:f>
          <m:r>
            <w:rPr>
              <w:rFonts w:asci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xy</m:t>
                  </m:r>
                </m:e>
              </m:acc>
              <m:r>
                <w:rPr>
                  <w:rFonts w:ascii="Cambria Math" w:hAnsi="Cambria Math"/>
                </w:rPr>
                <m:t>-</m:t>
              </m:r>
              <m:acc>
                <m:accPr>
                  <m:chr m:val="̅"/>
                  <m:ctrlPr>
                    <w:rPr>
                      <w:rFonts w:ascii="Cambria Math" w:hAnsi="Cambria Math"/>
                      <w:i/>
                    </w:rPr>
                  </m:ctrlPr>
                </m:accPr>
                <m:e>
                  <m:r>
                    <w:rPr>
                      <w:rFonts w:ascii="Cambria Math" w:hAnsi="Cambria Math"/>
                    </w:rPr>
                    <m:t>x</m:t>
                  </m:r>
                </m:e>
              </m:acc>
              <m:acc>
                <m:accPr>
                  <m:chr m:val="̅"/>
                  <m:ctrlPr>
                    <w:rPr>
                      <w:rFonts w:ascii="Cambria Math" w:hAnsi="Cambria Math"/>
                      <w:i/>
                    </w:rPr>
                  </m:ctrlPr>
                </m:accPr>
                <m:e>
                  <m:r>
                    <w:rPr>
                      <w:rFonts w:ascii="Cambria Math" w:hAnsi="Cambria Math"/>
                    </w:rPr>
                    <m:t>y</m:t>
                  </m:r>
                </m:e>
              </m:acc>
            </m:num>
            <m:den>
              <m:acc>
                <m:accPr>
                  <m:chr m:val="̅"/>
                  <m:ctrlPr>
                    <w:rPr>
                      <w:rFonts w:ascii="Cambria Math" w:hAnsi="Cambria Math"/>
                      <w:i/>
                    </w:rPr>
                  </m:ctrlPr>
                </m:accPr>
                <m:e>
                  <m:sSup>
                    <m:sSupPr>
                      <m:ctrlPr>
                        <w:rPr>
                          <w:rFonts w:ascii="Cambria Math" w:hAnsi="Cambria Math"/>
                          <w:i/>
                        </w:rPr>
                      </m:ctrlPr>
                    </m:sSupPr>
                    <m:e>
                      <m:r>
                        <w:rPr>
                          <w:rFonts w:ascii="Cambria Math" w:hAnsi="Cambria Math"/>
                        </w:rPr>
                        <m:t>x</m:t>
                      </m:r>
                    </m:e>
                    <m:sup>
                      <m:r>
                        <w:rPr>
                          <w:rFonts w:ascii="Cambria Math"/>
                        </w:rPr>
                        <m:t>2</m:t>
                      </m:r>
                    </m:sup>
                  </m:sSup>
                </m:e>
              </m:acc>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rPr>
                    <m:t>2</m:t>
                  </m:r>
                </m:sup>
              </m:sSup>
            </m:den>
          </m:f>
        </m:oMath>
      </m:oMathPara>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Pour mesurer la qualité de l'ajustement, on peut calculer la somme des carrés des erreurs individuelles qui correspond au E détaillé à l'expression (#)</w:t>
      </w: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ListParagraph"/>
        <w:numPr>
          <w:ilvl w:val="2"/>
          <w:numId w:val="38"/>
        </w:numPr>
        <w:autoSpaceDE w:val="0"/>
        <w:autoSpaceDN w:val="0"/>
        <w:adjustRightInd w:val="0"/>
        <w:ind w:left="1225" w:hanging="505"/>
        <w:jc w:val="left"/>
        <w:outlineLvl w:val="3"/>
        <w:rPr>
          <w:color w:val="000000"/>
          <w:szCs w:val="22"/>
        </w:rPr>
      </w:pPr>
      <w:bookmarkStart w:id="93" w:name="_Toc351126807"/>
      <w:r w:rsidRPr="00A83B39">
        <w:rPr>
          <w:color w:val="000000"/>
          <w:szCs w:val="22"/>
        </w:rPr>
        <w:t>Ajustements non linéaires</w:t>
      </w:r>
      <w:bookmarkEnd w:id="93"/>
    </w:p>
    <w:p w:rsidR="00D87A97" w:rsidRPr="00A83B39" w:rsidRDefault="00D87A97" w:rsidP="00D87A97">
      <w:pPr>
        <w:autoSpaceDE w:val="0"/>
        <w:autoSpaceDN w:val="0"/>
        <w:adjustRightInd w:val="0"/>
        <w:jc w:val="left"/>
        <w:rPr>
          <w:color w:val="000000"/>
          <w:szCs w:val="22"/>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Dans certains cas, l’ajustement à une fonction linéaire n’est pas adéquat : un ajustement des données à une fonction non linéaire doit être envisagé. Les deux cas que nous considérons sont ceux où on peut se ramener par simple transformation à un ajustement affine.</w:t>
      </w:r>
    </w:p>
    <w:p w:rsidR="00D87A97" w:rsidRPr="00A83B39" w:rsidRDefault="00D87A97" w:rsidP="00D87A97">
      <w:pPr>
        <w:pStyle w:val="ListParagraph"/>
        <w:autoSpaceDE w:val="0"/>
        <w:autoSpaceDN w:val="0"/>
        <w:adjustRightInd w:val="0"/>
        <w:ind w:left="1224"/>
        <w:rPr>
          <w:color w:val="000000"/>
          <w:sz w:val="24"/>
          <w:szCs w:val="24"/>
        </w:rPr>
      </w:pPr>
    </w:p>
    <w:p w:rsidR="00D87A97" w:rsidRPr="00A83B39" w:rsidRDefault="00D87A97" w:rsidP="00D87A97">
      <w:pPr>
        <w:pStyle w:val="ListParagraph"/>
        <w:numPr>
          <w:ilvl w:val="3"/>
          <w:numId w:val="38"/>
        </w:numPr>
        <w:autoSpaceDE w:val="0"/>
        <w:autoSpaceDN w:val="0"/>
        <w:adjustRightInd w:val="0"/>
        <w:ind w:left="1723" w:hanging="646"/>
        <w:jc w:val="left"/>
        <w:outlineLvl w:val="4"/>
        <w:rPr>
          <w:color w:val="000000"/>
          <w:szCs w:val="22"/>
        </w:rPr>
      </w:pPr>
      <w:bookmarkStart w:id="94" w:name="_Toc351126808"/>
      <w:r w:rsidRPr="00A83B39">
        <w:rPr>
          <w:bCs/>
          <w:szCs w:val="22"/>
        </w:rPr>
        <w:t>Ajustement à une fonction puissance</w:t>
      </w:r>
      <w:bookmarkEnd w:id="94"/>
    </w:p>
    <w:p w:rsidR="00D87A97" w:rsidRPr="00A83B39" w:rsidRDefault="00D87A97" w:rsidP="00D87A97">
      <w:pPr>
        <w:pStyle w:val="ListParagraph"/>
        <w:autoSpaceDE w:val="0"/>
        <w:autoSpaceDN w:val="0"/>
        <w:adjustRightInd w:val="0"/>
        <w:ind w:left="1728"/>
        <w:jc w:val="left"/>
        <w:rPr>
          <w:color w:val="000000"/>
          <w:szCs w:val="22"/>
        </w:rPr>
      </w:pPr>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 xml:space="preserve">Supposons que les variables statistiques </w:t>
      </w:r>
      <w:r w:rsidRPr="00A83B39">
        <w:rPr>
          <w:i/>
          <w:iCs/>
          <w:color w:val="000000"/>
          <w:sz w:val="24"/>
          <w:szCs w:val="24"/>
        </w:rPr>
        <w:t xml:space="preserve">x </w:t>
      </w:r>
      <w:r w:rsidRPr="00A83B39">
        <w:rPr>
          <w:color w:val="000000"/>
          <w:sz w:val="24"/>
          <w:szCs w:val="24"/>
        </w:rPr>
        <w:t xml:space="preserve">et </w:t>
      </w:r>
      <w:r w:rsidRPr="00A83B39">
        <w:rPr>
          <w:i/>
          <w:iCs/>
          <w:color w:val="000000"/>
          <w:sz w:val="24"/>
          <w:szCs w:val="24"/>
        </w:rPr>
        <w:t xml:space="preserve">y </w:t>
      </w:r>
      <w:r w:rsidRPr="00A83B39">
        <w:rPr>
          <w:color w:val="000000"/>
          <w:sz w:val="24"/>
          <w:szCs w:val="24"/>
        </w:rPr>
        <w:t xml:space="preserve">sont </w:t>
      </w:r>
      <w:proofErr w:type="gramStart"/>
      <w:r w:rsidRPr="00A83B39">
        <w:rPr>
          <w:color w:val="000000"/>
          <w:sz w:val="24"/>
          <w:szCs w:val="24"/>
        </w:rPr>
        <w:t>liées</w:t>
      </w:r>
      <w:proofErr w:type="gramEnd"/>
      <w:r w:rsidRPr="00A83B39">
        <w:rPr>
          <w:color w:val="000000"/>
          <w:sz w:val="24"/>
          <w:szCs w:val="24"/>
        </w:rPr>
        <w:t xml:space="preserve"> par une relation de la forme :</w:t>
      </w:r>
    </w:p>
    <w:p w:rsidR="00D87A97" w:rsidRPr="00D87A97" w:rsidRDefault="00D87A97" w:rsidP="00D87A97">
      <w:pPr>
        <w:autoSpaceDE w:val="0"/>
        <w:autoSpaceDN w:val="0"/>
        <w:adjustRightInd w:val="0"/>
        <w:spacing w:before="280" w:after="140"/>
        <w:rPr>
          <w:color w:val="000000"/>
          <w:sz w:val="24"/>
          <w:szCs w:val="24"/>
        </w:rPr>
      </w:pPr>
      <m:oMathPara>
        <m:oMath>
          <m:r>
            <w:rPr>
              <w:rFonts w:ascii="Cambria Math" w:hAnsi="Cambria Math"/>
              <w:sz w:val="24"/>
              <w:szCs w:val="24"/>
            </w:rPr>
            <m:t>y</m:t>
          </m:r>
          <m:r>
            <w:rPr>
              <w:rFonts w:ascii="Cambria Math"/>
              <w:sz w:val="24"/>
              <w:szCs w:val="24"/>
            </w:rPr>
            <m:t>=</m:t>
          </m:r>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a</m:t>
              </m:r>
            </m:sup>
          </m:sSup>
        </m:oMath>
      </m:oMathPara>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Dans ce cas, cette équation peut être transformée en prenant le logarithme :</w:t>
      </w:r>
    </w:p>
    <w:p w:rsidR="00D87A97" w:rsidRPr="00D87A97" w:rsidRDefault="00D87A97" w:rsidP="00D87A97">
      <w:pPr>
        <w:autoSpaceDE w:val="0"/>
        <w:autoSpaceDN w:val="0"/>
        <w:adjustRightInd w:val="0"/>
        <w:spacing w:before="280" w:after="140"/>
        <w:rPr>
          <w:color w:val="000000"/>
          <w:sz w:val="24"/>
          <w:szCs w:val="24"/>
        </w:rPr>
      </w:pPr>
      <m:oMathPara>
        <m:oMath>
          <m:func>
            <m:funcPr>
              <m:ctrlPr>
                <w:rPr>
                  <w:rFonts w:ascii="Cambria Math" w:hAnsi="Cambria Math"/>
                  <w:sz w:val="24"/>
                  <w:szCs w:val="24"/>
                </w:rPr>
              </m:ctrlPr>
            </m:funcPr>
            <m:fName>
              <m: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y</m:t>
                  </m:r>
                </m:e>
              </m:d>
              <m:ctrlPr>
                <w:rPr>
                  <w:rFonts w:ascii="Cambria Math" w:hAnsi="Cambria Math"/>
                  <w:i/>
                  <w:sz w:val="24"/>
                  <w:szCs w:val="24"/>
                </w:rPr>
              </m:ctrlPr>
            </m:e>
          </m:func>
          <m:r>
            <w:rPr>
              <w:rFonts w:ascii="Cambria Math"/>
              <w:sz w:val="24"/>
              <w:szCs w:val="24"/>
            </w:rPr>
            <m:t>=</m:t>
          </m:r>
          <m:r>
            <w:rPr>
              <w:rFonts w:ascii="Cambria Math" w:hAnsi="Cambria Math"/>
              <w:sz w:val="24"/>
              <w:szCs w:val="24"/>
            </w:rPr>
            <m:t>ln</m:t>
          </m:r>
          <m:d>
            <m:dPr>
              <m:ctrlPr>
                <w:rPr>
                  <w:rFonts w:ascii="Cambria Math" w:hAnsi="Cambria Math"/>
                  <w:i/>
                  <w:sz w:val="24"/>
                  <w:szCs w:val="24"/>
                </w:rPr>
              </m:ctrlPr>
            </m:dPr>
            <m:e>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a</m:t>
                  </m:r>
                </m:sup>
              </m:sSup>
            </m:e>
          </m:d>
        </m:oMath>
      </m:oMathPara>
    </w:p>
    <w:p w:rsidR="00D87A97" w:rsidRPr="00D87A97" w:rsidRDefault="00D87A97" w:rsidP="00D87A97">
      <w:pPr>
        <w:autoSpaceDE w:val="0"/>
        <w:autoSpaceDN w:val="0"/>
        <w:adjustRightInd w:val="0"/>
        <w:spacing w:before="280" w:after="140"/>
        <w:rPr>
          <w:sz w:val="24"/>
          <w:szCs w:val="24"/>
        </w:rPr>
      </w:pPr>
      <m:oMathPara>
        <m:oMath>
          <m:r>
            <w:rPr>
              <w:rFonts w:ascii="Cambria Math"/>
              <w:sz w:val="24"/>
              <w:szCs w:val="24"/>
            </w:rPr>
            <m:t>=</m:t>
          </m:r>
          <m:r>
            <w:rPr>
              <w:rFonts w:ascii="Cambria Math" w:hAnsi="Cambria Math"/>
              <w:sz w:val="24"/>
              <w:szCs w:val="24"/>
            </w:rPr>
            <m:t>ln</m:t>
          </m:r>
          <m:d>
            <m:dPr>
              <m:ctrlPr>
                <w:rPr>
                  <w:rFonts w:ascii="Cambria Math" w:hAnsi="Cambria Math"/>
                  <w:i/>
                  <w:sz w:val="24"/>
                  <w:szCs w:val="24"/>
                </w:rPr>
              </m:ctrlPr>
            </m:dPr>
            <m:e>
              <m:r>
                <w:rPr>
                  <w:rFonts w:ascii="Cambria Math" w:hAnsi="Cambria Math"/>
                  <w:sz w:val="24"/>
                  <w:szCs w:val="24"/>
                </w:rPr>
                <m:t>b</m:t>
              </m:r>
              <m:r>
                <w:rPr>
                  <w:rFonts w:ascii="Cambria Math"/>
                  <w:sz w:val="24"/>
                  <w:szCs w:val="24"/>
                </w:rPr>
                <m:t>)+</m:t>
              </m:r>
              <m:r>
                <w:rPr>
                  <w:rFonts w:ascii="Cambria Math" w:hAnsi="Cambria Math"/>
                  <w:sz w:val="24"/>
                  <w:szCs w:val="24"/>
                </w:rPr>
                <m:t>ln</m:t>
              </m:r>
              <m:r>
                <w:rPr>
                  <w:rFonts w:asci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a</m:t>
                  </m:r>
                </m:sup>
              </m:sSup>
            </m:e>
          </m:d>
        </m:oMath>
      </m:oMathPara>
    </w:p>
    <w:p w:rsidR="00D87A97" w:rsidRPr="00D87A97" w:rsidRDefault="00D87A97" w:rsidP="00D87A97">
      <w:pPr>
        <w:autoSpaceDE w:val="0"/>
        <w:autoSpaceDN w:val="0"/>
        <w:adjustRightInd w:val="0"/>
        <w:spacing w:before="280" w:after="140"/>
        <w:rPr>
          <w:sz w:val="24"/>
          <w:szCs w:val="24"/>
        </w:rPr>
      </w:pPr>
      <m:oMathPara>
        <m:oMath>
          <m:r>
            <w:rPr>
              <w:rFonts w:ascii="Cambria Math"/>
              <w:sz w:val="24"/>
              <w:szCs w:val="24"/>
            </w:rPr>
            <m:t>=</m:t>
          </m:r>
          <m:r>
            <w:rPr>
              <w:rFonts w:ascii="Cambria Math" w:hAnsi="Cambria Math"/>
              <w:sz w:val="24"/>
              <w:szCs w:val="24"/>
            </w:rPr>
            <m:t>ln</m:t>
          </m:r>
          <m:d>
            <m:dPr>
              <m:ctrlPr>
                <w:rPr>
                  <w:rFonts w:ascii="Cambria Math" w:hAnsi="Cambria Math"/>
                  <w:i/>
                  <w:sz w:val="24"/>
                  <w:szCs w:val="24"/>
                </w:rPr>
              </m:ctrlPr>
            </m:dPr>
            <m:e>
              <m:r>
                <w:rPr>
                  <w:rFonts w:ascii="Cambria Math" w:hAnsi="Cambria Math"/>
                  <w:sz w:val="24"/>
                  <w:szCs w:val="24"/>
                </w:rPr>
                <m:t>b</m:t>
              </m:r>
              <m:r>
                <w:rPr>
                  <w:rFonts w:ascii="Cambria Math"/>
                  <w:sz w:val="24"/>
                  <w:szCs w:val="24"/>
                </w:rPr>
                <m:t>)+</m:t>
              </m:r>
              <m:r>
                <w:rPr>
                  <w:rFonts w:ascii="Cambria Math" w:hAnsi="Cambria Math"/>
                  <w:sz w:val="24"/>
                  <w:szCs w:val="24"/>
                </w:rPr>
                <m:t>aln</m:t>
              </m:r>
              <m:r>
                <w:rPr>
                  <w:rFonts w:ascii="Cambria Math"/>
                  <w:sz w:val="24"/>
                  <w:szCs w:val="24"/>
                </w:rPr>
                <m:t>(</m:t>
              </m:r>
              <m:r>
                <w:rPr>
                  <w:rFonts w:ascii="Cambria Math" w:hAnsi="Cambria Math"/>
                  <w:sz w:val="24"/>
                  <w:szCs w:val="24"/>
                </w:rPr>
                <m:t>x</m:t>
              </m:r>
            </m:e>
          </m:d>
        </m:oMath>
      </m:oMathPara>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lastRenderedPageBreak/>
        <w:t>En effectuant les changements de variables suivants :</w:t>
      </w:r>
    </w:p>
    <w:p w:rsidR="00D87A97" w:rsidRPr="00D87A97" w:rsidRDefault="00D87A97" w:rsidP="00D87A97">
      <w:pPr>
        <w:autoSpaceDE w:val="0"/>
        <w:autoSpaceDN w:val="0"/>
        <w:adjustRightInd w:val="0"/>
        <w:spacing w:before="280" w:after="140"/>
        <w:rPr>
          <w:sz w:val="24"/>
          <w:szCs w:val="24"/>
        </w:rPr>
      </w:pPr>
      <m:oMathPara>
        <m:oMath>
          <m:r>
            <m:rPr>
              <m:sty m:val="p"/>
            </m:rPr>
            <w:rPr>
              <w:rFonts w:ascii="Cambria Math"/>
              <w:sz w:val="24"/>
              <w:szCs w:val="24"/>
            </w:rPr>
            <m:t>Y</m:t>
          </m:r>
          <m:r>
            <w:rPr>
              <w:rFonts w:ascii="Cambria Math"/>
              <w:sz w:val="24"/>
              <w:szCs w:val="24"/>
            </w:rPr>
            <m:t>=</m:t>
          </m:r>
          <m:r>
            <m:rPr>
              <m:sty m:val="p"/>
            </m:rPr>
            <w:rPr>
              <w:rFonts w:ascii="Cambria Math"/>
              <w:sz w:val="24"/>
              <w:szCs w:val="24"/>
            </w:rPr>
            <m:t>ln</m:t>
          </m:r>
          <m:r>
            <m:rPr>
              <m:sty m:val="p"/>
            </m:rPr>
            <w:rPr>
              <w:rFonts w:ascii="Cambria Math" w:hAnsi="Cambria Math"/>
              <w:sz w:val="24"/>
              <w:szCs w:val="24"/>
            </w:rPr>
            <m:t>⁡</m:t>
          </m:r>
          <m:r>
            <w:rPr>
              <w:rFonts w:ascii="Cambria Math"/>
              <w:sz w:val="24"/>
              <w:szCs w:val="24"/>
            </w:rPr>
            <m:t>(</m:t>
          </m:r>
          <m:r>
            <w:rPr>
              <w:rFonts w:ascii="Cambria Math" w:hAnsi="Cambria Math"/>
              <w:sz w:val="24"/>
              <w:szCs w:val="24"/>
            </w:rPr>
            <m:t>y</m:t>
          </m:r>
          <m:r>
            <w:rPr>
              <w:rFonts w:ascii="Cambria Math"/>
              <w:sz w:val="24"/>
              <w:szCs w:val="24"/>
            </w:rPr>
            <m:t>)</m:t>
          </m:r>
        </m:oMath>
      </m:oMathPara>
    </w:p>
    <w:p w:rsidR="00D87A97" w:rsidRPr="00D87A97" w:rsidRDefault="00D87A97" w:rsidP="00D87A97">
      <w:pPr>
        <w:autoSpaceDE w:val="0"/>
        <w:autoSpaceDN w:val="0"/>
        <w:adjustRightInd w:val="0"/>
        <w:spacing w:before="280" w:after="140"/>
        <w:rPr>
          <w:sz w:val="24"/>
          <w:szCs w:val="24"/>
        </w:rPr>
      </w:pPr>
      <m:oMathPara>
        <m:oMath>
          <m:r>
            <m:rPr>
              <m:sty m:val="p"/>
            </m:rPr>
            <w:rPr>
              <w:rFonts w:ascii="Cambria Math"/>
              <w:sz w:val="24"/>
              <w:szCs w:val="24"/>
            </w:rPr>
            <m:t>X</m:t>
          </m:r>
          <m:r>
            <w:rPr>
              <w:rFonts w:ascii="Cambria Math"/>
              <w:sz w:val="24"/>
              <w:szCs w:val="24"/>
            </w:rPr>
            <m:t>=</m:t>
          </m:r>
          <m:r>
            <m:rPr>
              <m:sty m:val="p"/>
            </m:rPr>
            <w:rPr>
              <w:rFonts w:ascii="Cambria Math"/>
              <w:sz w:val="24"/>
              <w:szCs w:val="24"/>
            </w:rPr>
            <m:t>ln</m:t>
          </m:r>
          <m:r>
            <m:rPr>
              <m:sty m:val="p"/>
            </m:rPr>
            <w:rPr>
              <w:rFonts w:ascii="Cambria Math" w:hAnsi="Cambria Math"/>
              <w:sz w:val="24"/>
              <w:szCs w:val="24"/>
            </w:rPr>
            <m:t>⁡</m:t>
          </m:r>
          <m:r>
            <w:rPr>
              <w:rFonts w:ascii="Cambria Math"/>
              <w:sz w:val="24"/>
              <w:szCs w:val="24"/>
            </w:rPr>
            <m:t>(</m:t>
          </m:r>
          <m:r>
            <w:rPr>
              <w:rFonts w:ascii="Cambria Math" w:hAnsi="Cambria Math"/>
              <w:sz w:val="24"/>
              <w:szCs w:val="24"/>
            </w:rPr>
            <m:t>x</m:t>
          </m:r>
          <m:r>
            <w:rPr>
              <w:rFonts w:ascii="Cambria Math"/>
              <w:sz w:val="24"/>
              <w:szCs w:val="24"/>
            </w:rPr>
            <m:t>)</m:t>
          </m:r>
        </m:oMath>
      </m:oMathPara>
    </w:p>
    <w:p w:rsidR="00D87A97" w:rsidRPr="00D87A97" w:rsidRDefault="00D87A97" w:rsidP="00D87A97">
      <w:pPr>
        <w:autoSpaceDE w:val="0"/>
        <w:autoSpaceDN w:val="0"/>
        <w:adjustRightInd w:val="0"/>
        <w:spacing w:before="280" w:after="140"/>
        <w:rPr>
          <w:color w:val="000000"/>
          <w:sz w:val="24"/>
          <w:szCs w:val="24"/>
        </w:rPr>
      </w:pPr>
      <m:oMathPara>
        <m:oMath>
          <m:r>
            <m:rPr>
              <m:sty m:val="p"/>
            </m:rPr>
            <w:rPr>
              <w:rFonts w:ascii="Cambria Math"/>
              <w:sz w:val="24"/>
              <w:szCs w:val="24"/>
            </w:rPr>
            <m:t>B</m:t>
          </m:r>
          <m:r>
            <w:rPr>
              <w:rFonts w:ascii="Cambria Math"/>
              <w:sz w:val="24"/>
              <w:szCs w:val="24"/>
            </w:rPr>
            <m:t>=</m:t>
          </m:r>
          <m:r>
            <m:rPr>
              <m:sty m:val="p"/>
            </m:rPr>
            <w:rPr>
              <w:rFonts w:ascii="Cambria Math"/>
              <w:sz w:val="24"/>
              <w:szCs w:val="24"/>
            </w:rPr>
            <m:t>ln</m:t>
          </m:r>
          <m:r>
            <m:rPr>
              <m:sty m:val="p"/>
            </m:rPr>
            <w:rPr>
              <w:rFonts w:ascii="Cambria Math" w:hAnsi="Cambria Math"/>
              <w:sz w:val="24"/>
              <w:szCs w:val="24"/>
            </w:rPr>
            <m:t>⁡</m:t>
          </m:r>
          <m:r>
            <w:rPr>
              <w:rFonts w:ascii="Cambria Math"/>
              <w:sz w:val="24"/>
              <w:szCs w:val="24"/>
            </w:rPr>
            <m:t>(</m:t>
          </m:r>
          <m:r>
            <w:rPr>
              <w:rFonts w:ascii="Cambria Math" w:hAnsi="Cambria Math"/>
              <w:sz w:val="24"/>
              <w:szCs w:val="24"/>
            </w:rPr>
            <m:t>b</m:t>
          </m:r>
          <m:r>
            <w:rPr>
              <w:rFonts w:ascii="Cambria Math"/>
              <w:sz w:val="24"/>
              <w:szCs w:val="24"/>
            </w:rPr>
            <m:t>)</m:t>
          </m:r>
        </m:oMath>
      </m:oMathPara>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Nous nous ramenons au cas étudié précédemment :</w:t>
      </w:r>
    </w:p>
    <w:p w:rsidR="00D87A97" w:rsidRPr="00A83B39" w:rsidRDefault="00D87A97" w:rsidP="00D87A97">
      <w:pPr>
        <w:pStyle w:val="Default"/>
        <w:jc w:val="both"/>
        <w:rPr>
          <w:rFonts w:ascii="Times New Roman" w:hAnsi="Times New Roman" w:cs="Times New Roman"/>
        </w:rPr>
      </w:pPr>
    </w:p>
    <w:p w:rsidR="00D87A97" w:rsidRPr="00D87A97" w:rsidRDefault="00D87A97" w:rsidP="00D87A97">
      <w:pPr>
        <w:pStyle w:val="Default"/>
        <w:jc w:val="both"/>
        <w:rPr>
          <w:rFonts w:ascii="Times New Roman" w:hAnsi="Times New Roman" w:cs="Times New Roman"/>
        </w:rPr>
      </w:pPr>
      <m:oMathPara>
        <m:oMath>
          <m:r>
            <m:rPr>
              <m:sty m:val="p"/>
            </m:rPr>
            <w:rPr>
              <w:rFonts w:ascii="Cambria Math"/>
            </w:rPr>
            <m:t>Y</m:t>
          </m:r>
          <m:r>
            <w:rPr>
              <w:rFonts w:ascii="Cambria Math"/>
            </w:rPr>
            <m:t>=</m:t>
          </m:r>
          <m:r>
            <m:rPr>
              <m:sty m:val="p"/>
            </m:rPr>
            <w:rPr>
              <w:rFonts w:ascii="Cambria Math"/>
            </w:rPr>
            <m:t>aX+B</m:t>
          </m:r>
        </m:oMath>
      </m:oMathPara>
    </w:p>
    <w:p w:rsidR="00D87A97" w:rsidRPr="00A83B39" w:rsidRDefault="00D87A97" w:rsidP="00D87A97">
      <w:pPr>
        <w:pStyle w:val="Default"/>
        <w:rPr>
          <w:rFonts w:ascii="Times New Roman" w:hAnsi="Times New Roman" w:cs="Times New Roman"/>
        </w:rPr>
      </w:pPr>
    </w:p>
    <w:p w:rsidR="00D87A97" w:rsidRPr="00A83B39" w:rsidRDefault="00D87A97" w:rsidP="00D87A97">
      <w:pPr>
        <w:pStyle w:val="ListParagraph"/>
        <w:numPr>
          <w:ilvl w:val="3"/>
          <w:numId w:val="38"/>
        </w:numPr>
        <w:autoSpaceDE w:val="0"/>
        <w:autoSpaceDN w:val="0"/>
        <w:adjustRightInd w:val="0"/>
        <w:ind w:left="1723" w:hanging="646"/>
        <w:jc w:val="left"/>
        <w:outlineLvl w:val="4"/>
        <w:rPr>
          <w:szCs w:val="22"/>
        </w:rPr>
      </w:pPr>
      <w:bookmarkStart w:id="95" w:name="_Toc351126809"/>
      <w:r w:rsidRPr="00A83B39">
        <w:rPr>
          <w:szCs w:val="22"/>
        </w:rPr>
        <w:t>Ajustement à une fonction exponentielle</w:t>
      </w:r>
      <w:bookmarkEnd w:id="95"/>
    </w:p>
    <w:p w:rsidR="00D87A97" w:rsidRPr="00A83B39" w:rsidRDefault="00D87A97" w:rsidP="00D87A97">
      <w:pPr>
        <w:pStyle w:val="Default"/>
        <w:rPr>
          <w:rStyle w:val="SC3539"/>
          <w:rFonts w:ascii="Times New Roman" w:hAnsi="Times New Roman" w:cs="Times New Roman"/>
        </w:rPr>
      </w:pPr>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 xml:space="preserve">Supposons que les variables statistiques </w:t>
      </w:r>
      <w:r w:rsidRPr="00A83B39">
        <w:rPr>
          <w:i/>
          <w:iCs/>
          <w:color w:val="000000"/>
          <w:sz w:val="24"/>
          <w:szCs w:val="24"/>
        </w:rPr>
        <w:t xml:space="preserve">x </w:t>
      </w:r>
      <w:r w:rsidRPr="00A83B39">
        <w:rPr>
          <w:color w:val="000000"/>
          <w:sz w:val="24"/>
          <w:szCs w:val="24"/>
        </w:rPr>
        <w:t xml:space="preserve">et </w:t>
      </w:r>
      <w:r w:rsidRPr="00A83B39">
        <w:rPr>
          <w:i/>
          <w:iCs/>
          <w:color w:val="000000"/>
          <w:sz w:val="24"/>
          <w:szCs w:val="24"/>
        </w:rPr>
        <w:t xml:space="preserve">y </w:t>
      </w:r>
      <w:r w:rsidRPr="00A83B39">
        <w:rPr>
          <w:color w:val="000000"/>
          <w:sz w:val="24"/>
          <w:szCs w:val="24"/>
        </w:rPr>
        <w:t xml:space="preserve">sont </w:t>
      </w:r>
      <w:proofErr w:type="gramStart"/>
      <w:r w:rsidRPr="00A83B39">
        <w:rPr>
          <w:color w:val="000000"/>
          <w:sz w:val="24"/>
          <w:szCs w:val="24"/>
        </w:rPr>
        <w:t>liées</w:t>
      </w:r>
      <w:proofErr w:type="gramEnd"/>
      <w:r w:rsidRPr="00A83B39">
        <w:rPr>
          <w:color w:val="000000"/>
          <w:sz w:val="24"/>
          <w:szCs w:val="24"/>
        </w:rPr>
        <w:t xml:space="preserve"> par une relation de la forme :</w:t>
      </w:r>
    </w:p>
    <w:p w:rsidR="00D87A97" w:rsidRPr="00D87A97" w:rsidRDefault="00D87A97" w:rsidP="00D87A97">
      <w:pPr>
        <w:autoSpaceDE w:val="0"/>
        <w:autoSpaceDN w:val="0"/>
        <w:adjustRightInd w:val="0"/>
        <w:spacing w:before="280" w:after="140"/>
        <w:rPr>
          <w:color w:val="000000"/>
          <w:sz w:val="24"/>
          <w:szCs w:val="24"/>
        </w:rPr>
      </w:pPr>
      <m:oMathPara>
        <m:oMath>
          <m:r>
            <w:rPr>
              <w:rFonts w:ascii="Cambria Math" w:hAnsi="Cambria Math"/>
              <w:sz w:val="24"/>
              <w:szCs w:val="24"/>
            </w:rPr>
            <m:t>y</m:t>
          </m:r>
          <m:r>
            <w:rPr>
              <w:rFonts w:ascii="Cambria Math"/>
              <w:sz w:val="24"/>
              <w:szCs w:val="24"/>
            </w:rPr>
            <m:t>=</m:t>
          </m:r>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ax</m:t>
              </m:r>
            </m:sup>
          </m:sSup>
        </m:oMath>
      </m:oMathPara>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Dans ce cas, cette équation peut être transformée en passant aux logarithmes :</w:t>
      </w:r>
    </w:p>
    <w:p w:rsidR="00D87A97" w:rsidRPr="00D87A97" w:rsidRDefault="00D87A97" w:rsidP="00D87A97">
      <w:pPr>
        <w:autoSpaceDE w:val="0"/>
        <w:autoSpaceDN w:val="0"/>
        <w:adjustRightInd w:val="0"/>
        <w:spacing w:before="280" w:after="140"/>
        <w:rPr>
          <w:sz w:val="24"/>
          <w:szCs w:val="24"/>
        </w:rPr>
      </w:pPr>
      <m:oMathPara>
        <m:oMath>
          <m:r>
            <m:rPr>
              <m:sty m:val="p"/>
            </m:rPr>
            <w:rPr>
              <w:rFonts w:ascii="Cambria Math"/>
              <w:sz w:val="24"/>
              <w:szCs w:val="24"/>
            </w:rPr>
            <m:t>ln</m:t>
          </m:r>
          <m:r>
            <m:rPr>
              <m:sty m:val="p"/>
            </m:rPr>
            <w:rPr>
              <w:rFonts w:ascii="Cambria Math" w:hAnsi="Cambria Math"/>
              <w:sz w:val="24"/>
              <w:szCs w:val="24"/>
            </w:rPr>
            <m:t>⁡</m:t>
          </m:r>
          <m:r>
            <w:rPr>
              <w:rFonts w:ascii="Cambria Math"/>
              <w:sz w:val="24"/>
              <w:szCs w:val="24"/>
            </w:rPr>
            <m:t>(</m:t>
          </m:r>
          <m:r>
            <w:rPr>
              <w:rFonts w:ascii="Cambria Math" w:hAnsi="Cambria Math"/>
              <w:sz w:val="24"/>
              <w:szCs w:val="24"/>
            </w:rPr>
            <m:t>y</m:t>
          </m:r>
          <m:r>
            <w:rPr>
              <w:rFonts w:ascii="Cambria Math"/>
              <w:sz w:val="24"/>
              <w:szCs w:val="24"/>
            </w:rPr>
            <m:t>)=</m:t>
          </m:r>
          <m:r>
            <m:rPr>
              <m:sty m:val="p"/>
            </m:rPr>
            <w:rPr>
              <w:rFonts w:ascii="Cambria Math"/>
              <w:sz w:val="24"/>
              <w:szCs w:val="24"/>
            </w:rPr>
            <m:t>ln</m:t>
          </m:r>
          <m:r>
            <m:rPr>
              <m:sty m:val="p"/>
            </m:rPr>
            <w:rPr>
              <w:rFonts w:ascii="Cambria Math" w:hAnsi="Cambria Math"/>
              <w:sz w:val="24"/>
              <w:szCs w:val="24"/>
            </w:rPr>
            <m:t>⁡</m:t>
          </m:r>
          <m:r>
            <w:rPr>
              <w:rFonts w:ascii="Cambria Math"/>
              <w:sz w:val="24"/>
              <w:szCs w:val="24"/>
            </w:rPr>
            <m:t>(</m:t>
          </m:r>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ax</m:t>
              </m:r>
            </m:sup>
          </m:sSup>
          <m:r>
            <w:rPr>
              <w:rFonts w:ascii="Cambria Math"/>
              <w:sz w:val="24"/>
              <w:szCs w:val="24"/>
            </w:rPr>
            <m:t>)</m:t>
          </m:r>
        </m:oMath>
      </m:oMathPara>
    </w:p>
    <w:p w:rsidR="00D87A97" w:rsidRPr="00D87A97" w:rsidRDefault="00D87A97" w:rsidP="00D87A97">
      <w:pPr>
        <w:autoSpaceDE w:val="0"/>
        <w:autoSpaceDN w:val="0"/>
        <w:adjustRightInd w:val="0"/>
        <w:spacing w:before="280" w:after="140"/>
        <w:rPr>
          <w:sz w:val="24"/>
          <w:szCs w:val="24"/>
        </w:rPr>
      </w:pPr>
      <m:oMathPara>
        <m:oMath>
          <m:r>
            <m:rPr>
              <m:sty m:val="p"/>
            </m:rPr>
            <w:rPr>
              <w:rFonts w:ascii="Cambria Math"/>
              <w:sz w:val="24"/>
              <w:szCs w:val="24"/>
            </w:rPr>
            <m:t>=</m:t>
          </m:r>
          <m:func>
            <m:funcPr>
              <m:ctrlPr>
                <w:rPr>
                  <w:rFonts w:ascii="Cambria Math" w:hAnsi="Cambria Math"/>
                  <w:sz w:val="24"/>
                  <w:szCs w:val="24"/>
                </w:rPr>
              </m:ctrlPr>
            </m:funcPr>
            <m:fName>
              <m:r>
                <m:rPr>
                  <m:sty m:val="p"/>
                </m:rPr>
                <w:rPr>
                  <w:rFonts w:ascii="Cambria Math"/>
                  <w:sz w:val="24"/>
                  <w:szCs w:val="24"/>
                </w:rPr>
                <m:t>ln</m:t>
              </m:r>
            </m:fName>
            <m:e>
              <m:d>
                <m:dPr>
                  <m:ctrlPr>
                    <w:rPr>
                      <w:rFonts w:ascii="Cambria Math" w:hAnsi="Cambria Math"/>
                      <w:i/>
                      <w:sz w:val="24"/>
                      <w:szCs w:val="24"/>
                    </w:rPr>
                  </m:ctrlPr>
                </m:dPr>
                <m:e>
                  <m:r>
                    <w:rPr>
                      <w:rFonts w:ascii="Cambria Math" w:hAnsi="Cambria Math"/>
                      <w:sz w:val="24"/>
                      <w:szCs w:val="24"/>
                    </w:rPr>
                    <m:t>b</m:t>
                  </m:r>
                </m:e>
              </m:d>
              <m:ctrlPr>
                <w:rPr>
                  <w:rFonts w:ascii="Cambria Math" w:hAnsi="Cambria Math"/>
                  <w:i/>
                  <w:sz w:val="24"/>
                  <w:szCs w:val="24"/>
                </w:rPr>
              </m:ctrlPr>
            </m:e>
          </m:func>
          <m:r>
            <w:rPr>
              <w:rFonts w:ascii="Cambria Math"/>
              <w:sz w:val="24"/>
              <w:szCs w:val="24"/>
            </w:rPr>
            <m:t>+</m:t>
          </m:r>
          <m:r>
            <m:rPr>
              <m:sty m:val="p"/>
            </m:rPr>
            <w:rPr>
              <w:rFonts w:ascii="Cambria Math"/>
              <w:sz w:val="24"/>
              <w:szCs w:val="24"/>
            </w:rPr>
            <m:t>ln</m:t>
          </m:r>
          <m:r>
            <m:rPr>
              <m:sty m:val="p"/>
            </m:rPr>
            <w:rPr>
              <w:rFonts w:ascii="Cambria Math" w:hAnsi="Cambria Math"/>
              <w:sz w:val="24"/>
              <w:szCs w:val="24"/>
            </w:rPr>
            <m:t>⁡</m:t>
          </m:r>
          <m:r>
            <w:rPr>
              <w:rFonts w:asci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ax</m:t>
              </m:r>
            </m:sup>
          </m:sSup>
          <m:r>
            <w:rPr>
              <w:rFonts w:ascii="Cambria Math"/>
              <w:sz w:val="24"/>
              <w:szCs w:val="24"/>
            </w:rPr>
            <m:t>)</m:t>
          </m:r>
        </m:oMath>
      </m:oMathPara>
    </w:p>
    <w:p w:rsidR="00D87A97" w:rsidRPr="00D87A97" w:rsidRDefault="00D87A97" w:rsidP="00D87A97">
      <w:pPr>
        <w:autoSpaceDE w:val="0"/>
        <w:autoSpaceDN w:val="0"/>
        <w:adjustRightInd w:val="0"/>
        <w:spacing w:before="280" w:after="140"/>
        <w:rPr>
          <w:color w:val="000000"/>
          <w:sz w:val="24"/>
          <w:szCs w:val="24"/>
        </w:rPr>
      </w:pPr>
      <m:oMathPara>
        <m:oMath>
          <m:r>
            <m:rPr>
              <m:sty m:val="p"/>
            </m:rPr>
            <w:rPr>
              <w:rFonts w:ascii="Cambria Math"/>
              <w:sz w:val="24"/>
              <w:szCs w:val="24"/>
            </w:rPr>
            <m:t>=</m:t>
          </m:r>
          <m:func>
            <m:funcPr>
              <m:ctrlPr>
                <w:rPr>
                  <w:rFonts w:ascii="Cambria Math" w:hAnsi="Cambria Math"/>
                  <w:sz w:val="24"/>
                  <w:szCs w:val="24"/>
                </w:rPr>
              </m:ctrlPr>
            </m:funcPr>
            <m:fName>
              <m:r>
                <m:rPr>
                  <m:sty m:val="p"/>
                </m:rPr>
                <w:rPr>
                  <w:rFonts w:ascii="Cambria Math"/>
                  <w:sz w:val="24"/>
                  <w:szCs w:val="24"/>
                </w:rPr>
                <m:t>ln</m:t>
              </m:r>
            </m:fName>
            <m:e>
              <m:d>
                <m:dPr>
                  <m:ctrlPr>
                    <w:rPr>
                      <w:rFonts w:ascii="Cambria Math" w:hAnsi="Cambria Math"/>
                      <w:i/>
                      <w:sz w:val="24"/>
                      <w:szCs w:val="24"/>
                    </w:rPr>
                  </m:ctrlPr>
                </m:dPr>
                <m:e>
                  <m:r>
                    <w:rPr>
                      <w:rFonts w:ascii="Cambria Math" w:hAnsi="Cambria Math"/>
                      <w:sz w:val="24"/>
                      <w:szCs w:val="24"/>
                    </w:rPr>
                    <m:t>b</m:t>
                  </m:r>
                </m:e>
              </m:d>
              <m:ctrlPr>
                <w:rPr>
                  <w:rFonts w:ascii="Cambria Math" w:hAnsi="Cambria Math"/>
                  <w:i/>
                  <w:sz w:val="24"/>
                  <w:szCs w:val="24"/>
                </w:rPr>
              </m:ctrlPr>
            </m:e>
          </m:func>
          <m:r>
            <w:rPr>
              <w:rFonts w:ascii="Cambria Math"/>
              <w:sz w:val="24"/>
              <w:szCs w:val="24"/>
            </w:rPr>
            <m:t>+</m:t>
          </m:r>
          <m:r>
            <m:rPr>
              <m:sty m:val="p"/>
            </m:rPr>
            <w:rPr>
              <w:rFonts w:ascii="Cambria Math"/>
              <w:sz w:val="24"/>
              <w:szCs w:val="24"/>
            </w:rPr>
            <m:t>ax</m:t>
          </m:r>
        </m:oMath>
      </m:oMathPara>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En effectuant les changements de variables suivants :</w:t>
      </w:r>
    </w:p>
    <w:p w:rsidR="00D87A97" w:rsidRPr="00D87A97" w:rsidRDefault="00D87A97" w:rsidP="00D87A97">
      <w:pPr>
        <w:autoSpaceDE w:val="0"/>
        <w:autoSpaceDN w:val="0"/>
        <w:adjustRightInd w:val="0"/>
        <w:spacing w:before="280" w:after="140"/>
        <w:rPr>
          <w:sz w:val="24"/>
          <w:szCs w:val="24"/>
        </w:rPr>
      </w:pPr>
      <m:oMathPara>
        <m:oMath>
          <m:r>
            <m:rPr>
              <m:sty m:val="p"/>
            </m:rPr>
            <w:rPr>
              <w:rFonts w:ascii="Cambria Math"/>
              <w:sz w:val="24"/>
              <w:szCs w:val="24"/>
            </w:rPr>
            <m:t>Y</m:t>
          </m:r>
          <m:r>
            <w:rPr>
              <w:rFonts w:ascii="Cambria Math"/>
              <w:sz w:val="24"/>
              <w:szCs w:val="24"/>
            </w:rPr>
            <m:t>=</m:t>
          </m:r>
          <m:r>
            <m:rPr>
              <m:sty m:val="p"/>
            </m:rPr>
            <w:rPr>
              <w:rFonts w:ascii="Cambria Math"/>
              <w:sz w:val="24"/>
              <w:szCs w:val="24"/>
            </w:rPr>
            <m:t>ln</m:t>
          </m:r>
          <m:r>
            <m:rPr>
              <m:sty m:val="p"/>
            </m:rPr>
            <w:rPr>
              <w:rFonts w:ascii="Cambria Math" w:hAnsi="Cambria Math"/>
              <w:sz w:val="24"/>
              <w:szCs w:val="24"/>
            </w:rPr>
            <m:t>⁡</m:t>
          </m:r>
          <m:r>
            <w:rPr>
              <w:rFonts w:ascii="Cambria Math"/>
              <w:sz w:val="24"/>
              <w:szCs w:val="24"/>
            </w:rPr>
            <m:t>(</m:t>
          </m:r>
          <m:r>
            <w:rPr>
              <w:rFonts w:ascii="Cambria Math" w:hAnsi="Cambria Math"/>
              <w:sz w:val="24"/>
              <w:szCs w:val="24"/>
            </w:rPr>
            <m:t>y</m:t>
          </m:r>
          <m:r>
            <w:rPr>
              <w:rFonts w:ascii="Cambria Math"/>
              <w:sz w:val="24"/>
              <w:szCs w:val="24"/>
            </w:rPr>
            <m:t>)</m:t>
          </m:r>
        </m:oMath>
      </m:oMathPara>
    </w:p>
    <w:p w:rsidR="00D87A97" w:rsidRPr="00D87A97" w:rsidRDefault="00D87A97" w:rsidP="00D87A97">
      <w:pPr>
        <w:autoSpaceDE w:val="0"/>
        <w:autoSpaceDN w:val="0"/>
        <w:adjustRightInd w:val="0"/>
        <w:spacing w:before="280" w:after="140"/>
        <w:rPr>
          <w:sz w:val="24"/>
          <w:szCs w:val="24"/>
        </w:rPr>
      </w:pPr>
      <m:oMathPara>
        <m:oMath>
          <m:r>
            <m:rPr>
              <m:sty m:val="p"/>
            </m:rPr>
            <w:rPr>
              <w:rFonts w:ascii="Cambria Math"/>
              <w:sz w:val="24"/>
              <w:szCs w:val="24"/>
            </w:rPr>
            <m:t>B</m:t>
          </m:r>
          <m:r>
            <w:rPr>
              <w:rFonts w:ascii="Cambria Math"/>
              <w:sz w:val="24"/>
              <w:szCs w:val="24"/>
            </w:rPr>
            <m:t>=</m:t>
          </m:r>
          <m:r>
            <m:rPr>
              <m:sty m:val="p"/>
            </m:rPr>
            <w:rPr>
              <w:rFonts w:ascii="Cambria Math"/>
              <w:sz w:val="24"/>
              <w:szCs w:val="24"/>
            </w:rPr>
            <m:t>ln</m:t>
          </m:r>
          <m:r>
            <m:rPr>
              <m:sty m:val="p"/>
            </m:rPr>
            <w:rPr>
              <w:rFonts w:ascii="Cambria Math" w:hAnsi="Cambria Math"/>
              <w:sz w:val="24"/>
              <w:szCs w:val="24"/>
            </w:rPr>
            <m:t>⁡</m:t>
          </m:r>
          <m:r>
            <w:rPr>
              <w:rFonts w:ascii="Cambria Math"/>
              <w:sz w:val="24"/>
              <w:szCs w:val="24"/>
            </w:rPr>
            <m:t>(</m:t>
          </m:r>
          <m:r>
            <w:rPr>
              <w:rFonts w:ascii="Cambria Math" w:hAnsi="Cambria Math"/>
              <w:sz w:val="24"/>
              <w:szCs w:val="24"/>
            </w:rPr>
            <m:t>b</m:t>
          </m:r>
          <m:r>
            <w:rPr>
              <w:rFonts w:ascii="Cambria Math"/>
              <w:sz w:val="24"/>
              <w:szCs w:val="24"/>
            </w:rPr>
            <m:t>)</m:t>
          </m:r>
        </m:oMath>
      </m:oMathPara>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Nous nous ramenons au cas étudié dans les paragraphes précédents :</w:t>
      </w:r>
    </w:p>
    <w:p w:rsidR="00D87A97" w:rsidRPr="00A83B39" w:rsidRDefault="00D87A97" w:rsidP="00D87A97">
      <w:pPr>
        <w:pStyle w:val="Default"/>
        <w:jc w:val="both"/>
        <w:rPr>
          <w:rFonts w:ascii="Times New Roman" w:hAnsi="Times New Roman" w:cs="Times New Roman"/>
        </w:rPr>
      </w:pPr>
    </w:p>
    <w:p w:rsidR="00D87A97" w:rsidRPr="00D87A97" w:rsidRDefault="00D87A97" w:rsidP="00D87A97">
      <w:pPr>
        <w:pStyle w:val="Default"/>
        <w:jc w:val="both"/>
        <w:rPr>
          <w:rFonts w:ascii="Times New Roman" w:hAnsi="Times New Roman" w:cs="Times New Roman"/>
        </w:rPr>
      </w:pPr>
      <m:oMathPara>
        <m:oMath>
          <m:r>
            <m:rPr>
              <m:sty m:val="p"/>
            </m:rPr>
            <w:rPr>
              <w:rFonts w:ascii="Cambria Math"/>
            </w:rPr>
            <m:t>Y</m:t>
          </m:r>
          <m:r>
            <w:rPr>
              <w:rFonts w:ascii="Cambria Math"/>
            </w:rPr>
            <m:t>=</m:t>
          </m:r>
          <m:r>
            <m:rPr>
              <m:sty m:val="p"/>
            </m:rPr>
            <w:rPr>
              <w:rFonts w:ascii="Cambria Math"/>
            </w:rPr>
            <m:t>ax+B</m:t>
          </m:r>
        </m:oMath>
      </m:oMathPara>
    </w:p>
    <w:p w:rsidR="00D87A97" w:rsidRPr="00A83B39" w:rsidRDefault="00D87A97" w:rsidP="00D87A97">
      <w:pPr>
        <w:pStyle w:val="Default"/>
        <w:rPr>
          <w:rFonts w:ascii="Times New Roman" w:hAnsi="Times New Roman" w:cs="Times New Roman"/>
          <w:sz w:val="23"/>
        </w:rPr>
      </w:pPr>
    </w:p>
    <w:p w:rsidR="00D87A97" w:rsidRPr="00A83B39" w:rsidRDefault="00D87A97" w:rsidP="00D87A97">
      <w:pPr>
        <w:pStyle w:val="ListParagraph"/>
        <w:numPr>
          <w:ilvl w:val="0"/>
          <w:numId w:val="37"/>
        </w:numPr>
        <w:ind w:left="357" w:hanging="357"/>
        <w:contextualSpacing w:val="0"/>
        <w:outlineLvl w:val="1"/>
        <w:rPr>
          <w:color w:val="000000"/>
          <w:szCs w:val="22"/>
        </w:rPr>
      </w:pPr>
      <w:bookmarkStart w:id="96" w:name="_Toc351126810"/>
      <w:r w:rsidRPr="00A83B39">
        <w:rPr>
          <w:color w:val="000000"/>
          <w:szCs w:val="22"/>
        </w:rPr>
        <w:t>Série chronologique</w:t>
      </w:r>
      <w:bookmarkEnd w:id="96"/>
    </w:p>
    <w:p w:rsidR="00D87A97" w:rsidRPr="00A83B39" w:rsidRDefault="00D87A97" w:rsidP="00D87A97">
      <w:pPr>
        <w:autoSpaceDE w:val="0"/>
        <w:autoSpaceDN w:val="0"/>
        <w:adjustRightInd w:val="0"/>
        <w:jc w:val="left"/>
        <w:rPr>
          <w:color w:val="000000"/>
          <w:szCs w:val="22"/>
        </w:rPr>
      </w:pPr>
    </w:p>
    <w:p w:rsidR="00D87A97" w:rsidRPr="00A83B39" w:rsidRDefault="00D87A97" w:rsidP="00D87A97">
      <w:pPr>
        <w:autoSpaceDE w:val="0"/>
        <w:autoSpaceDN w:val="0"/>
        <w:adjustRightInd w:val="0"/>
        <w:rPr>
          <w:color w:val="000000"/>
          <w:sz w:val="24"/>
          <w:szCs w:val="24"/>
        </w:rPr>
      </w:pPr>
      <w:r w:rsidRPr="00A83B39">
        <w:rPr>
          <w:color w:val="000000"/>
          <w:sz w:val="24"/>
          <w:szCs w:val="24"/>
        </w:rPr>
        <w:t>Les exemples développés dans cette section sont totalement fictifs.</w:t>
      </w:r>
    </w:p>
    <w:p w:rsidR="00D87A97" w:rsidRPr="00A83B39" w:rsidRDefault="00D87A97" w:rsidP="00D87A97">
      <w:pPr>
        <w:autoSpaceDE w:val="0"/>
        <w:autoSpaceDN w:val="0"/>
        <w:adjustRightInd w:val="0"/>
        <w:jc w:val="left"/>
        <w:rPr>
          <w:color w:val="000000"/>
          <w:szCs w:val="22"/>
        </w:rPr>
      </w:pPr>
    </w:p>
    <w:p w:rsidR="00D87A97" w:rsidRPr="00A83B39" w:rsidRDefault="00D87A97" w:rsidP="00D87A97">
      <w:pPr>
        <w:pStyle w:val="ListParagraph"/>
        <w:numPr>
          <w:ilvl w:val="0"/>
          <w:numId w:val="38"/>
        </w:numPr>
        <w:autoSpaceDE w:val="0"/>
        <w:autoSpaceDN w:val="0"/>
        <w:adjustRightInd w:val="0"/>
        <w:jc w:val="left"/>
        <w:rPr>
          <w:vanish/>
          <w:color w:val="000000"/>
          <w:szCs w:val="22"/>
        </w:rPr>
      </w:pPr>
    </w:p>
    <w:p w:rsidR="00D87A97" w:rsidRPr="00A83B39" w:rsidRDefault="00D87A97" w:rsidP="00D87A97">
      <w:pPr>
        <w:pStyle w:val="ListParagraph"/>
        <w:numPr>
          <w:ilvl w:val="1"/>
          <w:numId w:val="38"/>
        </w:numPr>
        <w:ind w:left="788" w:hanging="431"/>
        <w:contextualSpacing w:val="0"/>
        <w:outlineLvl w:val="2"/>
        <w:rPr>
          <w:color w:val="000000"/>
          <w:szCs w:val="22"/>
        </w:rPr>
      </w:pPr>
      <w:bookmarkStart w:id="97" w:name="_Toc351126811"/>
      <w:r w:rsidRPr="00A83B39">
        <w:rPr>
          <w:color w:val="000000"/>
          <w:szCs w:val="22"/>
        </w:rPr>
        <w:t>Introduction</w:t>
      </w:r>
      <w:bookmarkEnd w:id="97"/>
    </w:p>
    <w:p w:rsidR="00D87A97" w:rsidRPr="00A83B39" w:rsidRDefault="00D87A97" w:rsidP="00D87A97">
      <w:pPr>
        <w:autoSpaceDE w:val="0"/>
        <w:autoSpaceDN w:val="0"/>
        <w:adjustRightInd w:val="0"/>
        <w:jc w:val="left"/>
        <w:rPr>
          <w:color w:val="000000"/>
          <w:sz w:val="23"/>
        </w:rPr>
      </w:pPr>
    </w:p>
    <w:p w:rsidR="00D87A97" w:rsidRPr="00A83B39" w:rsidRDefault="00D87A97" w:rsidP="00D87A97">
      <w:pPr>
        <w:autoSpaceDE w:val="0"/>
        <w:autoSpaceDN w:val="0"/>
        <w:adjustRightInd w:val="0"/>
        <w:rPr>
          <w:color w:val="000000"/>
          <w:sz w:val="24"/>
          <w:szCs w:val="24"/>
        </w:rPr>
      </w:pPr>
      <w:r w:rsidRPr="00A83B39">
        <w:rPr>
          <w:color w:val="000000"/>
          <w:sz w:val="24"/>
          <w:szCs w:val="24"/>
        </w:rPr>
        <w:t xml:space="preserve">Une </w:t>
      </w:r>
      <w:r w:rsidRPr="00A83B39">
        <w:rPr>
          <w:i/>
          <w:iCs/>
          <w:color w:val="000000"/>
          <w:sz w:val="24"/>
          <w:szCs w:val="24"/>
        </w:rPr>
        <w:t xml:space="preserve">série chronologique </w:t>
      </w:r>
      <w:r w:rsidRPr="00A83B39">
        <w:rPr>
          <w:color w:val="000000"/>
          <w:sz w:val="24"/>
          <w:szCs w:val="24"/>
        </w:rPr>
        <w:t xml:space="preserve">est une série statistique ordonnée en fonction du temps. </w:t>
      </w:r>
    </w:p>
    <w:p w:rsidR="00D87A97" w:rsidRPr="00A83B39" w:rsidRDefault="00D87A97" w:rsidP="00D87A97">
      <w:pPr>
        <w:autoSpaceDE w:val="0"/>
        <w:autoSpaceDN w:val="0"/>
        <w:adjustRightInd w:val="0"/>
        <w:rPr>
          <w:color w:val="000000"/>
          <w:sz w:val="24"/>
          <w:szCs w:val="24"/>
        </w:rPr>
      </w:pPr>
    </w:p>
    <w:p w:rsidR="00D87A97" w:rsidRPr="00A83B39" w:rsidRDefault="00D87A97" w:rsidP="00D87A97">
      <w:pPr>
        <w:autoSpaceDE w:val="0"/>
        <w:autoSpaceDN w:val="0"/>
        <w:adjustRightInd w:val="0"/>
        <w:rPr>
          <w:color w:val="000000"/>
          <w:sz w:val="24"/>
          <w:szCs w:val="24"/>
        </w:rPr>
      </w:pPr>
      <w:r w:rsidRPr="00A83B39">
        <w:rPr>
          <w:color w:val="000000"/>
          <w:sz w:val="24"/>
          <w:szCs w:val="24"/>
        </w:rPr>
        <w:t>Exemples : le cours journalier en bourse (à la clôture) d’une action, le nombre de nouveaux assurés comptabilisés par une compagnie d'assurance chaque mois. L’étude de ces séries est intéressante car elle peut permettre de prévoir l’évolution du phénomène observé dans le temps.</w:t>
      </w: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 xml:space="preserve">Voici une série chronologique indiquant le nombre de victimes dans des accidents de la route au Luxembourg ayant été indemnisées par leur assureur : </w:t>
      </w:r>
    </w:p>
    <w:p w:rsidR="00D87A97" w:rsidRPr="00A83B39" w:rsidRDefault="00D87A97" w:rsidP="00D87A97">
      <w:pPr>
        <w:autoSpaceDE w:val="0"/>
        <w:autoSpaceDN w:val="0"/>
        <w:adjustRightInd w:val="0"/>
        <w:spacing w:before="360"/>
        <w:jc w:val="left"/>
        <w:rPr>
          <w:color w:val="000000"/>
          <w:sz w:val="24"/>
          <w:szCs w:val="24"/>
        </w:rPr>
      </w:pPr>
    </w:p>
    <w:tbl>
      <w:tblPr>
        <w:tblW w:w="2400" w:type="dxa"/>
        <w:jc w:val="center"/>
        <w:tblInd w:w="51" w:type="dxa"/>
        <w:tblCellMar>
          <w:left w:w="70" w:type="dxa"/>
          <w:right w:w="70" w:type="dxa"/>
        </w:tblCellMar>
        <w:tblLook w:val="04A0" w:firstRow="1" w:lastRow="0" w:firstColumn="1" w:lastColumn="0" w:noHBand="0" w:noVBand="1"/>
      </w:tblPr>
      <w:tblGrid>
        <w:gridCol w:w="1200"/>
        <w:gridCol w:w="1200"/>
      </w:tblGrid>
      <w:tr w:rsidR="00D87A97" w:rsidRPr="00A83B39" w:rsidTr="003F50D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Année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Nombre de victimes</w:t>
            </w:r>
          </w:p>
        </w:tc>
      </w:tr>
      <w:tr w:rsidR="00D87A97" w:rsidRPr="00A83B39" w:rsidTr="003F50D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1970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2497</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lastRenderedPageBreak/>
              <w:t>1980</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2380</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1981</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2239</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1982</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2034</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1983</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2193</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1984</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2185</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1985</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2075</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1986</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2062</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1987</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1749</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1988</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1946</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1989</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1914</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1990</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1846</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1991</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1725</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1992</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1725</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1993</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1720</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1994</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1616</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1995</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1730</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1996</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1609</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1997</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1559</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1998</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1575</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1999</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1588</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2000</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1331</w:t>
            </w:r>
          </w:p>
        </w:tc>
      </w:tr>
      <w:tr w:rsidR="00D87A97" w:rsidRPr="00A83B39" w:rsidTr="003F50D4">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2001</w:t>
            </w:r>
          </w:p>
        </w:tc>
        <w:tc>
          <w:tcPr>
            <w:tcW w:w="1200" w:type="dxa"/>
            <w:tcBorders>
              <w:top w:val="nil"/>
              <w:left w:val="nil"/>
              <w:bottom w:val="single" w:sz="4" w:space="0" w:color="auto"/>
              <w:right w:val="single" w:sz="4" w:space="0" w:color="auto"/>
            </w:tcBorders>
            <w:shd w:val="clear" w:color="auto" w:fill="auto"/>
            <w:vAlign w:val="center"/>
            <w:hideMark/>
          </w:tcPr>
          <w:p w:rsidR="00D87A97" w:rsidRPr="00A83B39" w:rsidRDefault="00D87A97" w:rsidP="003F50D4">
            <w:pPr>
              <w:jc w:val="center"/>
              <w:rPr>
                <w:color w:val="000000"/>
                <w:sz w:val="20"/>
              </w:rPr>
            </w:pPr>
            <w:r w:rsidRPr="00A83B39">
              <w:rPr>
                <w:color w:val="000000"/>
                <w:sz w:val="20"/>
              </w:rPr>
              <w:t>1246</w:t>
            </w:r>
          </w:p>
        </w:tc>
      </w:tr>
    </w:tbl>
    <w:p w:rsidR="00D87A97" w:rsidRPr="00A83B39" w:rsidRDefault="00D87A97" w:rsidP="00D87A97">
      <w:pPr>
        <w:pStyle w:val="Default"/>
        <w:rPr>
          <w:rFonts w:ascii="Times New Roman" w:hAnsi="Times New Roman" w:cs="Times New Roman"/>
        </w:rPr>
      </w:pPr>
    </w:p>
    <w:p w:rsidR="00D87A97" w:rsidRPr="00A83B39" w:rsidRDefault="00D87A97" w:rsidP="00D87A97">
      <w:pPr>
        <w:pStyle w:val="Default"/>
        <w:rPr>
          <w:rFonts w:ascii="Times New Roman" w:hAnsi="Times New Roman" w:cs="Times New Roman"/>
        </w:rPr>
      </w:pPr>
      <w:r>
        <w:rPr>
          <w:rFonts w:ascii="Times New Roman" w:hAnsi="Times New Roman" w:cs="Times New Roman"/>
          <w:noProof/>
        </w:rPr>
        <w:drawing>
          <wp:inline distT="0" distB="0" distL="0" distR="0">
            <wp:extent cx="5765800" cy="3130550"/>
            <wp:effectExtent l="0" t="0" r="25400" b="12700"/>
            <wp:docPr id="73" name="Chart 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7A97" w:rsidRPr="00A83B39" w:rsidRDefault="00D87A97" w:rsidP="00D87A97">
      <w:pPr>
        <w:pStyle w:val="Default"/>
        <w:rPr>
          <w:rFonts w:ascii="Times New Roman" w:hAnsi="Times New Roman" w:cs="Times New Roman"/>
        </w:rPr>
      </w:pPr>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Sur la représentation graphique d’une série chronologique, on peut distinguer les composantes fondamentales suivantes :</w:t>
      </w:r>
    </w:p>
    <w:p w:rsidR="00D87A97" w:rsidRPr="00A83B39" w:rsidRDefault="00D87A97" w:rsidP="00D87A97">
      <w:pPr>
        <w:autoSpaceDE w:val="0"/>
        <w:autoSpaceDN w:val="0"/>
        <w:adjustRightInd w:val="0"/>
        <w:spacing w:before="60"/>
        <w:ind w:left="283"/>
        <w:rPr>
          <w:color w:val="000000"/>
          <w:sz w:val="24"/>
          <w:szCs w:val="24"/>
        </w:rPr>
      </w:pPr>
      <w:r w:rsidRPr="00A83B39">
        <w:rPr>
          <w:b/>
          <w:bCs/>
          <w:color w:val="000000"/>
          <w:sz w:val="24"/>
          <w:szCs w:val="24"/>
        </w:rPr>
        <w:t>•</w:t>
      </w:r>
      <w:r w:rsidRPr="00A83B39">
        <w:rPr>
          <w:color w:val="000000"/>
          <w:sz w:val="24"/>
          <w:szCs w:val="24"/>
        </w:rPr>
        <w:t xml:space="preserve">le </w:t>
      </w:r>
      <w:r w:rsidRPr="00A83B39">
        <w:rPr>
          <w:i/>
          <w:iCs/>
          <w:color w:val="000000"/>
          <w:sz w:val="24"/>
          <w:szCs w:val="24"/>
        </w:rPr>
        <w:t xml:space="preserve">mouvement de tendance générale </w:t>
      </w:r>
      <w:r w:rsidRPr="00A83B39">
        <w:rPr>
          <w:color w:val="000000"/>
          <w:sz w:val="24"/>
          <w:szCs w:val="24"/>
        </w:rPr>
        <w:t xml:space="preserve">ou </w:t>
      </w:r>
      <w:r w:rsidRPr="00A83B39">
        <w:rPr>
          <w:i/>
          <w:iCs/>
          <w:color w:val="000000"/>
          <w:sz w:val="24"/>
          <w:szCs w:val="24"/>
        </w:rPr>
        <w:t xml:space="preserve">trend </w:t>
      </w:r>
      <w:r w:rsidRPr="00A83B39">
        <w:rPr>
          <w:color w:val="000000"/>
          <w:sz w:val="24"/>
          <w:szCs w:val="24"/>
        </w:rPr>
        <w:t>indiquant l’évolution générale du phénomène étudié</w:t>
      </w:r>
    </w:p>
    <w:p w:rsidR="00D87A97" w:rsidRPr="00A83B39" w:rsidRDefault="00D87A97" w:rsidP="00D87A97">
      <w:pPr>
        <w:autoSpaceDE w:val="0"/>
        <w:autoSpaceDN w:val="0"/>
        <w:adjustRightInd w:val="0"/>
        <w:spacing w:before="60"/>
        <w:ind w:left="283"/>
        <w:rPr>
          <w:color w:val="000000"/>
          <w:sz w:val="24"/>
          <w:szCs w:val="24"/>
        </w:rPr>
      </w:pPr>
      <w:r w:rsidRPr="00A83B39">
        <w:rPr>
          <w:b/>
          <w:bCs/>
          <w:color w:val="000000"/>
          <w:sz w:val="24"/>
          <w:szCs w:val="24"/>
        </w:rPr>
        <w:t>•</w:t>
      </w:r>
      <w:r w:rsidRPr="00A83B39">
        <w:rPr>
          <w:color w:val="000000"/>
          <w:sz w:val="24"/>
          <w:szCs w:val="24"/>
        </w:rPr>
        <w:t xml:space="preserve">les </w:t>
      </w:r>
      <w:r w:rsidRPr="00A83B39">
        <w:rPr>
          <w:i/>
          <w:iCs/>
          <w:color w:val="000000"/>
          <w:sz w:val="24"/>
          <w:szCs w:val="24"/>
        </w:rPr>
        <w:t xml:space="preserve">mouvements cycliques </w:t>
      </w:r>
      <w:r w:rsidRPr="00A83B39">
        <w:rPr>
          <w:color w:val="000000"/>
          <w:sz w:val="24"/>
          <w:szCs w:val="24"/>
        </w:rPr>
        <w:t>sur une grande période autour du trend. Ces mouvements peuvent être périodiques (exemple : récession et expansion économique, etc.)</w:t>
      </w:r>
    </w:p>
    <w:p w:rsidR="00D87A97" w:rsidRPr="00A83B39" w:rsidRDefault="00D87A97" w:rsidP="00D87A97">
      <w:pPr>
        <w:autoSpaceDE w:val="0"/>
        <w:autoSpaceDN w:val="0"/>
        <w:adjustRightInd w:val="0"/>
        <w:spacing w:before="60"/>
        <w:ind w:left="283"/>
        <w:rPr>
          <w:color w:val="000000"/>
          <w:sz w:val="24"/>
          <w:szCs w:val="24"/>
        </w:rPr>
      </w:pPr>
      <w:r w:rsidRPr="00A83B39">
        <w:rPr>
          <w:b/>
          <w:bCs/>
          <w:color w:val="000000"/>
          <w:sz w:val="24"/>
          <w:szCs w:val="24"/>
        </w:rPr>
        <w:t>•</w:t>
      </w:r>
      <w:r w:rsidRPr="00A83B39">
        <w:rPr>
          <w:color w:val="000000"/>
          <w:sz w:val="24"/>
          <w:szCs w:val="24"/>
        </w:rPr>
        <w:t xml:space="preserve">les </w:t>
      </w:r>
      <w:r w:rsidRPr="00A83B39">
        <w:rPr>
          <w:i/>
          <w:iCs/>
          <w:color w:val="000000"/>
          <w:sz w:val="24"/>
          <w:szCs w:val="24"/>
        </w:rPr>
        <w:t xml:space="preserve">mouvements saisonniers </w:t>
      </w:r>
      <w:r w:rsidRPr="00A83B39">
        <w:rPr>
          <w:color w:val="000000"/>
          <w:sz w:val="24"/>
          <w:szCs w:val="24"/>
        </w:rPr>
        <w:t xml:space="preserve">ou </w:t>
      </w:r>
      <w:r w:rsidRPr="00A83B39">
        <w:rPr>
          <w:i/>
          <w:iCs/>
          <w:color w:val="000000"/>
          <w:sz w:val="24"/>
          <w:szCs w:val="24"/>
        </w:rPr>
        <w:t xml:space="preserve">variations saisonnières </w:t>
      </w:r>
      <w:r w:rsidRPr="00A83B39">
        <w:rPr>
          <w:color w:val="000000"/>
          <w:sz w:val="24"/>
          <w:szCs w:val="24"/>
        </w:rPr>
        <w:t>sont des variations se reproduisant périodiquement à des moments bien déterminés (exemple : vente de contrat complémentaire santé à la rentrée scolaire, etc.)</w:t>
      </w: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b/>
          <w:bCs/>
        </w:rPr>
        <w:lastRenderedPageBreak/>
        <w:t>•</w:t>
      </w:r>
      <w:r w:rsidRPr="00A83B39">
        <w:rPr>
          <w:rFonts w:ascii="Times New Roman" w:hAnsi="Times New Roman" w:cs="Times New Roman"/>
        </w:rPr>
        <w:t xml:space="preserve">les </w:t>
      </w:r>
      <w:r w:rsidRPr="00A83B39">
        <w:rPr>
          <w:rFonts w:ascii="Times New Roman" w:hAnsi="Times New Roman" w:cs="Times New Roman"/>
          <w:i/>
          <w:iCs/>
        </w:rPr>
        <w:t xml:space="preserve">mouvements accidentels </w:t>
      </w:r>
      <w:r w:rsidRPr="00A83B39">
        <w:rPr>
          <w:rFonts w:ascii="Times New Roman" w:hAnsi="Times New Roman" w:cs="Times New Roman"/>
        </w:rPr>
        <w:t xml:space="preserve">ou </w:t>
      </w:r>
      <w:r w:rsidRPr="00A83B39">
        <w:rPr>
          <w:rFonts w:ascii="Times New Roman" w:hAnsi="Times New Roman" w:cs="Times New Roman"/>
          <w:i/>
          <w:iCs/>
        </w:rPr>
        <w:t xml:space="preserve">résiduels </w:t>
      </w:r>
      <w:r w:rsidRPr="00A83B39">
        <w:rPr>
          <w:rFonts w:ascii="Times New Roman" w:hAnsi="Times New Roman" w:cs="Times New Roman"/>
        </w:rPr>
        <w:t>sont dus à des facteurs exceptionnels pour la plupart imprévisibles (risque de guerre, etc.)</w:t>
      </w:r>
    </w:p>
    <w:p w:rsidR="00D87A97" w:rsidRPr="00A83B39" w:rsidRDefault="00D87A97" w:rsidP="00D87A97">
      <w:pPr>
        <w:pStyle w:val="Default"/>
        <w:rPr>
          <w:rFonts w:ascii="Times New Roman" w:hAnsi="Times New Roman" w:cs="Times New Roman"/>
        </w:rPr>
      </w:pPr>
    </w:p>
    <w:p w:rsidR="00D87A97" w:rsidRPr="00A83B39" w:rsidRDefault="00D87A97" w:rsidP="00D87A97">
      <w:pPr>
        <w:pStyle w:val="ListParagraph"/>
        <w:numPr>
          <w:ilvl w:val="1"/>
          <w:numId w:val="38"/>
        </w:numPr>
        <w:ind w:left="788" w:hanging="431"/>
        <w:contextualSpacing w:val="0"/>
        <w:outlineLvl w:val="2"/>
        <w:rPr>
          <w:color w:val="000000"/>
          <w:szCs w:val="22"/>
        </w:rPr>
      </w:pPr>
      <w:bookmarkStart w:id="98" w:name="_Toc351126812"/>
      <w:r w:rsidRPr="00A83B39">
        <w:rPr>
          <w:color w:val="000000"/>
          <w:szCs w:val="22"/>
        </w:rPr>
        <w:t>Estimation de la tendance</w:t>
      </w:r>
      <w:bookmarkEnd w:id="98"/>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Il est clair qu’afin de pouvoir estimer la tendance, c’est-à-dire le mouvement d’un phénomène observé sur un grand intervalle de temps, il faut disposer d’une série statistique sur une longue période.</w:t>
      </w:r>
    </w:p>
    <w:p w:rsidR="00D87A97" w:rsidRPr="00A83B39" w:rsidRDefault="00D87A97" w:rsidP="00D87A97">
      <w:pPr>
        <w:autoSpaceDE w:val="0"/>
        <w:autoSpaceDN w:val="0"/>
        <w:adjustRightInd w:val="0"/>
        <w:rPr>
          <w:color w:val="000000"/>
          <w:sz w:val="24"/>
          <w:szCs w:val="24"/>
        </w:rPr>
      </w:pPr>
    </w:p>
    <w:p w:rsidR="00D87A97" w:rsidRPr="00A83B39" w:rsidRDefault="00D87A97" w:rsidP="00D87A97">
      <w:pPr>
        <w:autoSpaceDE w:val="0"/>
        <w:autoSpaceDN w:val="0"/>
        <w:adjustRightInd w:val="0"/>
        <w:rPr>
          <w:color w:val="000000"/>
          <w:sz w:val="24"/>
          <w:szCs w:val="24"/>
        </w:rPr>
      </w:pPr>
      <w:r w:rsidRPr="00A83B39">
        <w:rPr>
          <w:color w:val="000000"/>
          <w:sz w:val="24"/>
          <w:szCs w:val="24"/>
        </w:rPr>
        <w:t>Disposant de ces données, le premier travail consiste à effectuer une représentation graphique adéquate permettant d’avoir une vue globale du phénomène étudié.</w:t>
      </w:r>
    </w:p>
    <w:p w:rsidR="00D87A97" w:rsidRPr="00A83B39" w:rsidRDefault="00D87A97" w:rsidP="00D87A97">
      <w:pPr>
        <w:pStyle w:val="Default"/>
        <w:rPr>
          <w:rFonts w:ascii="Times New Roman" w:hAnsi="Times New Roman" w:cs="Times New Roman"/>
        </w:rPr>
      </w:pPr>
    </w:p>
    <w:p w:rsidR="00D87A97" w:rsidRPr="00A83B39" w:rsidRDefault="00D87A97" w:rsidP="00D87A97">
      <w:pPr>
        <w:pStyle w:val="ListParagraph"/>
        <w:numPr>
          <w:ilvl w:val="2"/>
          <w:numId w:val="38"/>
        </w:numPr>
        <w:autoSpaceDE w:val="0"/>
        <w:autoSpaceDN w:val="0"/>
        <w:adjustRightInd w:val="0"/>
        <w:ind w:left="1225" w:hanging="505"/>
        <w:jc w:val="left"/>
        <w:outlineLvl w:val="3"/>
        <w:rPr>
          <w:color w:val="000000"/>
          <w:szCs w:val="22"/>
        </w:rPr>
      </w:pPr>
      <w:bookmarkStart w:id="99" w:name="_Toc351126813"/>
      <w:r w:rsidRPr="00A83B39">
        <w:rPr>
          <w:bCs/>
          <w:szCs w:val="22"/>
        </w:rPr>
        <w:t>Ajustement analytique</w:t>
      </w:r>
      <w:bookmarkEnd w:id="99"/>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Si les données sur le graphique se présentent sous une forme ressemblant à une courbe connue (droite, parabole, exponentielle, etc.), on peut essayer de dégager une forme analytique pour cette courbe.</w:t>
      </w:r>
    </w:p>
    <w:p w:rsidR="00D87A97" w:rsidRPr="00A83B39" w:rsidRDefault="00D87A97" w:rsidP="00D87A97">
      <w:pPr>
        <w:autoSpaceDE w:val="0"/>
        <w:autoSpaceDN w:val="0"/>
        <w:adjustRightInd w:val="0"/>
        <w:spacing w:before="280" w:after="140"/>
        <w:rPr>
          <w:color w:val="000000"/>
          <w:sz w:val="24"/>
          <w:szCs w:val="24"/>
        </w:rPr>
      </w:pPr>
      <w:r w:rsidRPr="00A83B39">
        <w:rPr>
          <w:sz w:val="24"/>
          <w:szCs w:val="24"/>
        </w:rPr>
        <w:t>Nous ajustons cette courbe avec les méthodes étudiées au chapitre précédent, ce qui permet de déterminer la tendance de la série chronologique.</w:t>
      </w:r>
    </w:p>
    <w:p w:rsidR="00D87A97" w:rsidRPr="00A83B39" w:rsidRDefault="00D87A97" w:rsidP="00D87A97">
      <w:pPr>
        <w:pStyle w:val="ListParagraph"/>
        <w:autoSpaceDE w:val="0"/>
        <w:autoSpaceDN w:val="0"/>
        <w:adjustRightInd w:val="0"/>
        <w:ind w:left="1224"/>
        <w:jc w:val="left"/>
        <w:rPr>
          <w:color w:val="000000"/>
          <w:szCs w:val="22"/>
        </w:rPr>
      </w:pPr>
    </w:p>
    <w:p w:rsidR="00D87A97" w:rsidRPr="00A83B39" w:rsidRDefault="00D87A97" w:rsidP="00D87A97">
      <w:pPr>
        <w:pStyle w:val="ListParagraph"/>
        <w:numPr>
          <w:ilvl w:val="2"/>
          <w:numId w:val="38"/>
        </w:numPr>
        <w:autoSpaceDE w:val="0"/>
        <w:autoSpaceDN w:val="0"/>
        <w:adjustRightInd w:val="0"/>
        <w:ind w:left="1225" w:hanging="505"/>
        <w:jc w:val="left"/>
        <w:outlineLvl w:val="3"/>
        <w:rPr>
          <w:color w:val="000000"/>
          <w:szCs w:val="22"/>
        </w:rPr>
      </w:pPr>
      <w:bookmarkStart w:id="100" w:name="_Toc351126814"/>
      <w:r w:rsidRPr="00A83B39">
        <w:rPr>
          <w:bCs/>
          <w:szCs w:val="22"/>
        </w:rPr>
        <w:t>Moyennes mobiles</w:t>
      </w:r>
      <w:bookmarkEnd w:id="100"/>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 xml:space="preserve">Afin d’éliminer ou d’amortir les mouvements cycliques, saisonniers et accidentels, on peut aussi utiliser la technique des </w:t>
      </w:r>
      <w:r w:rsidRPr="00A83B39">
        <w:rPr>
          <w:i/>
          <w:iCs/>
          <w:color w:val="000000"/>
          <w:sz w:val="24"/>
          <w:szCs w:val="24"/>
        </w:rPr>
        <w:t>moyennes mobiles</w:t>
      </w:r>
      <w:r w:rsidRPr="00A83B39">
        <w:rPr>
          <w:color w:val="000000"/>
          <w:sz w:val="24"/>
          <w:szCs w:val="24"/>
        </w:rPr>
        <w:t xml:space="preserve">. On procède ainsi en quelque sorte au </w:t>
      </w:r>
      <w:r w:rsidRPr="00A83B39">
        <w:rPr>
          <w:i/>
          <w:iCs/>
          <w:color w:val="000000"/>
          <w:sz w:val="24"/>
          <w:szCs w:val="24"/>
        </w:rPr>
        <w:t>lissage de la courbe</w:t>
      </w:r>
      <w:r w:rsidRPr="00A83B39">
        <w:rPr>
          <w:color w:val="000000"/>
          <w:sz w:val="24"/>
          <w:szCs w:val="24"/>
        </w:rPr>
        <w:t>.</w:t>
      </w:r>
    </w:p>
    <w:p w:rsidR="00D87A97" w:rsidRPr="00A83B39" w:rsidRDefault="00D87A97" w:rsidP="00D87A97">
      <w:pPr>
        <w:autoSpaceDE w:val="0"/>
        <w:autoSpaceDN w:val="0"/>
        <w:adjustRightInd w:val="0"/>
        <w:rPr>
          <w:color w:val="000000"/>
          <w:sz w:val="24"/>
          <w:szCs w:val="24"/>
        </w:rPr>
      </w:pPr>
      <w:r w:rsidRPr="00A83B39">
        <w:rPr>
          <w:color w:val="000000"/>
          <w:sz w:val="24"/>
          <w:szCs w:val="24"/>
        </w:rPr>
        <w:t xml:space="preserve">Le principe de cette méthode est de construire une nouvelle série obtenue en calculant des moyennes arithmétiques successives de longueur </w:t>
      </w:r>
      <w:r w:rsidRPr="00A83B39">
        <w:rPr>
          <w:i/>
          <w:iCs/>
          <w:color w:val="000000"/>
          <w:sz w:val="24"/>
          <w:szCs w:val="24"/>
        </w:rPr>
        <w:t xml:space="preserve">p </w:t>
      </w:r>
      <w:r w:rsidRPr="00A83B39">
        <w:rPr>
          <w:color w:val="000000"/>
          <w:sz w:val="24"/>
          <w:szCs w:val="24"/>
        </w:rPr>
        <w:t>fixe à partir des données originales. Chacune de ces moyennes obtenues correspondra au “milieu” de la période pour laquelle la moyenne arithmétique vient d’être calculée.</w:t>
      </w:r>
    </w:p>
    <w:p w:rsidR="00D87A97" w:rsidRPr="00A83B39" w:rsidRDefault="00D87A97" w:rsidP="00D87A97">
      <w:pPr>
        <w:autoSpaceDE w:val="0"/>
        <w:autoSpaceDN w:val="0"/>
        <w:adjustRightInd w:val="0"/>
        <w:rPr>
          <w:color w:val="000000"/>
          <w:sz w:val="24"/>
          <w:szCs w:val="24"/>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Exemple : le tableau ci-dessous contient des mesures d’un phénomène relevées à 9 instants différents.</w:t>
      </w:r>
    </w:p>
    <w:p w:rsidR="00D87A97" w:rsidRPr="00A83B39" w:rsidRDefault="00D87A97" w:rsidP="00D87A97">
      <w:pPr>
        <w:pStyle w:val="Default"/>
        <w:rPr>
          <w:rFonts w:ascii="Times New Roman" w:hAnsi="Times New Roman" w:cs="Times New Roman"/>
          <w:sz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023"/>
        <w:gridCol w:w="1023"/>
        <w:gridCol w:w="1023"/>
        <w:gridCol w:w="1024"/>
        <w:gridCol w:w="1024"/>
        <w:gridCol w:w="1024"/>
        <w:gridCol w:w="1024"/>
        <w:gridCol w:w="1024"/>
      </w:tblGrid>
      <w:tr w:rsidR="00D87A97" w:rsidRPr="00A83B39" w:rsidTr="003F50D4">
        <w:trPr>
          <w:jc w:val="center"/>
        </w:trPr>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1</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2</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3</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4</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5</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6</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7</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8</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9</w:t>
            </w:r>
          </w:p>
        </w:tc>
      </w:tr>
      <w:tr w:rsidR="00D87A97" w:rsidRPr="00A83B39" w:rsidTr="003F50D4">
        <w:trPr>
          <w:jc w:val="center"/>
        </w:trPr>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6</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3</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7</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3</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6</w:t>
            </w:r>
          </w:p>
        </w:tc>
      </w:tr>
    </w:tbl>
    <w:p w:rsidR="00D87A97" w:rsidRPr="00A83B39" w:rsidRDefault="00D87A97" w:rsidP="00D87A97">
      <w:pPr>
        <w:pStyle w:val="Default"/>
        <w:rPr>
          <w:rFonts w:ascii="Times New Roman" w:hAnsi="Times New Roman" w:cs="Times New Roman"/>
          <w:sz w:val="23"/>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Si nous calculons les moyennes mobiles d’ordre 3, nous obtenons les valeurs suivantes :</w:t>
      </w:r>
    </w:p>
    <w:p w:rsidR="00D87A97" w:rsidRPr="00A83B39" w:rsidRDefault="00D87A97" w:rsidP="00D87A97">
      <w:pPr>
        <w:pStyle w:val="Default"/>
        <w:rPr>
          <w:rFonts w:ascii="Times New Roman" w:hAnsi="Times New Roman" w:cs="Times New Roman"/>
          <w:sz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023"/>
        <w:gridCol w:w="1023"/>
        <w:gridCol w:w="1023"/>
        <w:gridCol w:w="1024"/>
        <w:gridCol w:w="1024"/>
        <w:gridCol w:w="1024"/>
        <w:gridCol w:w="1024"/>
        <w:gridCol w:w="1024"/>
      </w:tblGrid>
      <w:tr w:rsidR="00D87A97" w:rsidRPr="00A83B39" w:rsidTr="003F50D4">
        <w:trPr>
          <w:jc w:val="center"/>
        </w:trPr>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1</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2</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3</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4</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5</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6</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7</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8</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9</w:t>
            </w:r>
          </w:p>
        </w:tc>
      </w:tr>
      <w:tr w:rsidR="00D87A97" w:rsidRPr="00A83B39" w:rsidTr="003F50D4">
        <w:trPr>
          <w:jc w:val="center"/>
        </w:trPr>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6</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3</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7</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3</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6</w:t>
            </w:r>
          </w:p>
        </w:tc>
      </w:tr>
      <w:tr w:rsidR="00D87A97" w:rsidRPr="00A83B39" w:rsidTr="003F50D4">
        <w:trPr>
          <w:jc w:val="center"/>
        </w:trPr>
        <w:tc>
          <w:tcPr>
            <w:tcW w:w="1023" w:type="dxa"/>
            <w:vAlign w:val="center"/>
          </w:tcPr>
          <w:p w:rsidR="00D87A97" w:rsidRPr="00A83B39" w:rsidRDefault="00D87A97" w:rsidP="003F50D4">
            <w:pPr>
              <w:pStyle w:val="Default"/>
              <w:jc w:val="center"/>
              <w:rPr>
                <w:rFonts w:ascii="Times New Roman" w:hAnsi="Times New Roman" w:cs="Times New Roman"/>
              </w:rPr>
            </w:pP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5.00</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4.67</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5.00</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5.00</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5.33</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4.00</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4.33</w:t>
            </w:r>
          </w:p>
        </w:tc>
        <w:tc>
          <w:tcPr>
            <w:tcW w:w="1024" w:type="dxa"/>
            <w:vAlign w:val="center"/>
          </w:tcPr>
          <w:p w:rsidR="00D87A97" w:rsidRPr="00A83B39" w:rsidRDefault="00D87A97" w:rsidP="003F50D4">
            <w:pPr>
              <w:pStyle w:val="Default"/>
              <w:jc w:val="center"/>
              <w:rPr>
                <w:rFonts w:ascii="Times New Roman" w:hAnsi="Times New Roman" w:cs="Times New Roman"/>
              </w:rPr>
            </w:pPr>
          </w:p>
        </w:tc>
      </w:tr>
    </w:tbl>
    <w:p w:rsidR="00D87A97" w:rsidRPr="00A83B39" w:rsidRDefault="00D87A97" w:rsidP="00D87A97">
      <w:pPr>
        <w:pStyle w:val="Default"/>
        <w:rPr>
          <w:rFonts w:ascii="Times New Roman" w:hAnsi="Times New Roman" w:cs="Times New Roman"/>
          <w:sz w:val="23"/>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La moyenne mobile d’ordre 3 pour t</w:t>
      </w:r>
      <w:r w:rsidRPr="00A83B39">
        <w:rPr>
          <w:rFonts w:ascii="Times New Roman" w:hAnsi="Times New Roman" w:cs="Times New Roman"/>
          <w:vertAlign w:val="subscript"/>
        </w:rPr>
        <w:t xml:space="preserve">6 </w:t>
      </w:r>
      <w:r w:rsidRPr="00A83B39">
        <w:rPr>
          <w:rFonts w:ascii="Times New Roman" w:hAnsi="Times New Roman" w:cs="Times New Roman"/>
        </w:rPr>
        <w:t xml:space="preserve">est :  </w:t>
      </w:r>
      <m:oMath>
        <m:f>
          <m:fPr>
            <m:ctrlPr>
              <w:rPr>
                <w:rFonts w:ascii="Cambria Math" w:hAnsi="Cambria Math"/>
                <w:i/>
              </w:rPr>
            </m:ctrlPr>
          </m:fPr>
          <m:num>
            <m:r>
              <w:rPr>
                <w:rFonts w:ascii="Cambria Math"/>
              </w:rPr>
              <m:t>7+5+4</m:t>
            </m:r>
          </m:num>
          <m:den>
            <m:r>
              <w:rPr>
                <w:rFonts w:ascii="Cambria Math"/>
              </w:rPr>
              <m:t>3</m:t>
            </m:r>
          </m:den>
        </m:f>
        <m:r>
          <w:rPr>
            <w:rFonts w:ascii="Cambria Math" w:hAnsi="Cambria Math"/>
          </w:rPr>
          <m:t>≈</m:t>
        </m:r>
        <m:r>
          <w:rPr>
            <w:rFonts w:ascii="Cambria Math"/>
          </w:rPr>
          <m:t>5.33</m:t>
        </m:r>
      </m:oMath>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On constate que, vu la façon de calculer ces moyennes, les deux valeurs extrêmes ont disparu, c’est-à-dire une de chaque côté.</w:t>
      </w:r>
    </w:p>
    <w:p w:rsidR="00D87A97" w:rsidRPr="00A83B39" w:rsidRDefault="00D87A97" w:rsidP="00D87A97">
      <w:pPr>
        <w:autoSpaceDE w:val="0"/>
        <w:autoSpaceDN w:val="0"/>
        <w:adjustRightInd w:val="0"/>
        <w:spacing w:before="360"/>
        <w:jc w:val="left"/>
        <w:rPr>
          <w:color w:val="000000"/>
          <w:sz w:val="24"/>
          <w:szCs w:val="24"/>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En calculant les moyennes mobiles d’ordre 5, nous aurons :</w:t>
      </w:r>
    </w:p>
    <w:p w:rsidR="00D87A97" w:rsidRPr="00A83B39" w:rsidRDefault="00D87A97" w:rsidP="00D87A97">
      <w:pPr>
        <w:pStyle w:val="Defaul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023"/>
        <w:gridCol w:w="1023"/>
        <w:gridCol w:w="1023"/>
        <w:gridCol w:w="1024"/>
        <w:gridCol w:w="1024"/>
        <w:gridCol w:w="1024"/>
        <w:gridCol w:w="1024"/>
        <w:gridCol w:w="1024"/>
      </w:tblGrid>
      <w:tr w:rsidR="00D87A97" w:rsidRPr="00A83B39" w:rsidTr="003F50D4">
        <w:trPr>
          <w:jc w:val="center"/>
        </w:trPr>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1</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2</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3</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4</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5</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6</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7</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8</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9</w:t>
            </w:r>
          </w:p>
        </w:tc>
      </w:tr>
      <w:tr w:rsidR="00D87A97" w:rsidRPr="00A83B39" w:rsidTr="003F50D4">
        <w:trPr>
          <w:jc w:val="center"/>
        </w:trPr>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6</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3</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7</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3</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6</w:t>
            </w:r>
          </w:p>
        </w:tc>
      </w:tr>
      <w:tr w:rsidR="00D87A97" w:rsidRPr="00A83B39" w:rsidTr="003F50D4">
        <w:trPr>
          <w:jc w:val="center"/>
        </w:trPr>
        <w:tc>
          <w:tcPr>
            <w:tcW w:w="1023" w:type="dxa"/>
            <w:vAlign w:val="center"/>
          </w:tcPr>
          <w:p w:rsidR="00D87A97" w:rsidRPr="00A83B39" w:rsidRDefault="00D87A97" w:rsidP="003F50D4">
            <w:pPr>
              <w:pStyle w:val="Default"/>
              <w:jc w:val="center"/>
              <w:rPr>
                <w:rFonts w:ascii="Times New Roman" w:hAnsi="Times New Roman" w:cs="Times New Roman"/>
              </w:rPr>
            </w:pPr>
          </w:p>
        </w:tc>
        <w:tc>
          <w:tcPr>
            <w:tcW w:w="1023" w:type="dxa"/>
            <w:vAlign w:val="center"/>
          </w:tcPr>
          <w:p w:rsidR="00D87A97" w:rsidRPr="00A83B39" w:rsidRDefault="00D87A97" w:rsidP="003F50D4">
            <w:pPr>
              <w:pStyle w:val="Default"/>
              <w:jc w:val="center"/>
              <w:rPr>
                <w:rFonts w:ascii="Times New Roman" w:hAnsi="Times New Roman" w:cs="Times New Roman"/>
              </w:rPr>
            </w:pP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5.2</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4.8</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4.4</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w:t>
            </w:r>
          </w:p>
        </w:tc>
        <w:tc>
          <w:tcPr>
            <w:tcW w:w="1024" w:type="dxa"/>
            <w:vAlign w:val="center"/>
          </w:tcPr>
          <w:p w:rsidR="00D87A97" w:rsidRPr="00A83B39" w:rsidRDefault="00D87A97" w:rsidP="003F50D4">
            <w:pPr>
              <w:pStyle w:val="Default"/>
              <w:jc w:val="center"/>
              <w:rPr>
                <w:rFonts w:ascii="Times New Roman" w:hAnsi="Times New Roman" w:cs="Times New Roman"/>
              </w:rPr>
            </w:pPr>
          </w:p>
        </w:tc>
        <w:tc>
          <w:tcPr>
            <w:tcW w:w="1024" w:type="dxa"/>
            <w:vAlign w:val="center"/>
          </w:tcPr>
          <w:p w:rsidR="00D87A97" w:rsidRPr="00A83B39" w:rsidRDefault="00D87A97" w:rsidP="003F50D4">
            <w:pPr>
              <w:pStyle w:val="Default"/>
              <w:jc w:val="center"/>
              <w:rPr>
                <w:rFonts w:ascii="Times New Roman" w:hAnsi="Times New Roman" w:cs="Times New Roman"/>
              </w:rPr>
            </w:pPr>
          </w:p>
        </w:tc>
      </w:tr>
    </w:tbl>
    <w:p w:rsidR="00D87A97" w:rsidRPr="00A83B39" w:rsidRDefault="00D87A97" w:rsidP="00D87A97">
      <w:pPr>
        <w:pStyle w:val="Default"/>
        <w:rPr>
          <w:rFonts w:ascii="Times New Roman" w:hAnsi="Times New Roman" w:cs="Times New Roman"/>
          <w:vertAlign w:val="subscript"/>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lastRenderedPageBreak/>
        <w:t>La moyenne mobile d’ordre 3 pour t</w:t>
      </w:r>
      <w:r w:rsidRPr="00A83B39">
        <w:rPr>
          <w:rFonts w:ascii="Times New Roman" w:hAnsi="Times New Roman" w:cs="Times New Roman"/>
          <w:vertAlign w:val="subscript"/>
        </w:rPr>
        <w:t xml:space="preserve">4 </w:t>
      </w:r>
      <w:r w:rsidRPr="00A83B39">
        <w:rPr>
          <w:rFonts w:ascii="Times New Roman" w:hAnsi="Times New Roman" w:cs="Times New Roman"/>
        </w:rPr>
        <w:t xml:space="preserve">est :  </w:t>
      </w:r>
      <m:oMath>
        <m:f>
          <m:fPr>
            <m:ctrlPr>
              <w:rPr>
                <w:rFonts w:ascii="Cambria Math" w:hAnsi="Cambria Math"/>
                <w:i/>
              </w:rPr>
            </m:ctrlPr>
          </m:fPr>
          <m:num>
            <m:r>
              <w:rPr>
                <w:rFonts w:ascii="Cambria Math"/>
              </w:rPr>
              <m:t>6+5+3+7+5</m:t>
            </m:r>
          </m:num>
          <m:den>
            <m:r>
              <w:rPr>
                <w:rFonts w:ascii="Cambria Math"/>
              </w:rPr>
              <m:t>5</m:t>
            </m:r>
          </m:den>
        </m:f>
        <m:r>
          <w:rPr>
            <w:rFonts w:ascii="Cambria Math" w:hAnsi="Cambria Math"/>
          </w:rPr>
          <m:t>≈</m:t>
        </m:r>
        <m:r>
          <w:rPr>
            <w:rFonts w:ascii="Cambria Math"/>
          </w:rPr>
          <m:t>5.2</m:t>
        </m:r>
      </m:oMath>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On constate que, vu la façon de calculer ces moyennes, les quatre valeurs extrêmes ont disparu, c’est-à-dire deux de chaque côté.</w:t>
      </w: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 xml:space="preserve">De manière générale, on constate que si </w:t>
      </w:r>
      <w:r w:rsidRPr="00A83B39">
        <w:rPr>
          <w:rFonts w:ascii="Times New Roman" w:hAnsi="Times New Roman" w:cs="Times New Roman"/>
          <w:i/>
          <w:iCs/>
        </w:rPr>
        <w:t xml:space="preserve">p </w:t>
      </w:r>
      <w:r w:rsidRPr="00A83B39">
        <w:rPr>
          <w:rFonts w:ascii="Times New Roman" w:hAnsi="Times New Roman" w:cs="Times New Roman"/>
        </w:rPr>
        <w:t xml:space="preserve">est impair, donc de la forme 2k + 1, à chaque extrémité </w:t>
      </w:r>
      <w:r w:rsidRPr="00A83B39">
        <w:rPr>
          <w:rFonts w:ascii="Times New Roman" w:hAnsi="Times New Roman" w:cs="Times New Roman"/>
          <w:i/>
          <w:iCs/>
        </w:rPr>
        <w:t xml:space="preserve">k </w:t>
      </w:r>
      <w:r w:rsidRPr="00A83B39">
        <w:rPr>
          <w:rFonts w:ascii="Times New Roman" w:hAnsi="Times New Roman" w:cs="Times New Roman"/>
        </w:rPr>
        <w:t>valeurs sont perdues.</w:t>
      </w: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En représentant graphiquement ces résultats, nous remarquons bien la tendance au “lissage” de la représentation originale avec l’utilisation de la technique des moyennes mobiles.</w:t>
      </w:r>
    </w:p>
    <w:p w:rsidR="00D87A97" w:rsidRPr="00A83B39" w:rsidRDefault="00D87A97" w:rsidP="00D87A97">
      <w:pPr>
        <w:pStyle w:val="Default"/>
        <w:rPr>
          <w:rFonts w:ascii="Times New Roman" w:hAnsi="Times New Roman" w:cs="Times New Roman"/>
          <w:vertAlign w:val="subscript"/>
        </w:rPr>
      </w:pPr>
    </w:p>
    <w:p w:rsidR="00D87A97" w:rsidRPr="00A83B39" w:rsidRDefault="00D87A97" w:rsidP="00D87A97">
      <w:pPr>
        <w:pStyle w:val="Default"/>
        <w:jc w:val="center"/>
        <w:rPr>
          <w:rFonts w:ascii="Times New Roman" w:hAnsi="Times New Roman" w:cs="Times New Roman"/>
          <w:vertAlign w:val="subscript"/>
        </w:rPr>
      </w:pPr>
      <w:r>
        <w:rPr>
          <w:rFonts w:ascii="Times New Roman" w:hAnsi="Times New Roman" w:cs="Times New Roman"/>
          <w:noProof/>
          <w:vertAlign w:val="subscript"/>
        </w:rPr>
        <w:drawing>
          <wp:inline distT="0" distB="0" distL="0" distR="0">
            <wp:extent cx="4574540" cy="2747645"/>
            <wp:effectExtent l="0" t="0" r="16510" b="14605"/>
            <wp:docPr id="72" name="Chart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7A97" w:rsidRPr="00A83B39" w:rsidRDefault="00D87A97" w:rsidP="00D87A97">
      <w:pPr>
        <w:pStyle w:val="Default"/>
        <w:jc w:val="center"/>
        <w:rPr>
          <w:rFonts w:ascii="Times New Roman" w:hAnsi="Times New Roman" w:cs="Times New Roman"/>
          <w:vertAlign w:val="subscript"/>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 xml:space="preserve">En choisissant </w:t>
      </w:r>
      <w:r w:rsidRPr="00A83B39">
        <w:rPr>
          <w:rFonts w:ascii="Times New Roman" w:hAnsi="Times New Roman" w:cs="Times New Roman"/>
          <w:i/>
          <w:iCs/>
        </w:rPr>
        <w:t xml:space="preserve">p </w:t>
      </w:r>
      <w:r w:rsidRPr="00A83B39">
        <w:rPr>
          <w:rFonts w:ascii="Times New Roman" w:hAnsi="Times New Roman" w:cs="Times New Roman"/>
        </w:rPr>
        <w:t>pair, nous sommes confrontés au problème que les moyennes obtenues ne correspondront pas à une abscisse existante, mais chevaucheront entre deux de ces valeurs.</w:t>
      </w: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vertAlign w:val="subscript"/>
        </w:rPr>
      </w:pPr>
      <w:r w:rsidRPr="00A83B39">
        <w:rPr>
          <w:rFonts w:ascii="Times New Roman" w:hAnsi="Times New Roman" w:cs="Times New Roman"/>
        </w:rPr>
        <w:t>Exemple : dans la série chronologique précédente, si nous calculons les moyennes mobiles d’ordre 4, nous obtenons des valeurs pour t</w:t>
      </w:r>
      <w:r w:rsidRPr="00A83B39">
        <w:rPr>
          <w:rFonts w:ascii="Times New Roman" w:hAnsi="Times New Roman" w:cs="Times New Roman"/>
          <w:vertAlign w:val="subscript"/>
        </w:rPr>
        <w:t>2</w:t>
      </w:r>
      <w:proofErr w:type="gramStart"/>
      <w:r w:rsidRPr="00A83B39">
        <w:rPr>
          <w:rFonts w:ascii="Times New Roman" w:hAnsi="Times New Roman" w:cs="Times New Roman"/>
          <w:vertAlign w:val="subscript"/>
        </w:rPr>
        <w:t>,5</w:t>
      </w:r>
      <w:proofErr w:type="gramEnd"/>
      <w:r w:rsidRPr="00A83B39">
        <w:rPr>
          <w:rFonts w:ascii="Times New Roman" w:hAnsi="Times New Roman" w:cs="Times New Roman"/>
        </w:rPr>
        <w:t>, t</w:t>
      </w:r>
      <w:r w:rsidRPr="00A83B39">
        <w:rPr>
          <w:rFonts w:ascii="Times New Roman" w:hAnsi="Times New Roman" w:cs="Times New Roman"/>
          <w:vertAlign w:val="subscript"/>
        </w:rPr>
        <w:t>3,5</w:t>
      </w:r>
      <w:r w:rsidRPr="00A83B39">
        <w:rPr>
          <w:rFonts w:ascii="Times New Roman" w:hAnsi="Times New Roman" w:cs="Times New Roman"/>
        </w:rPr>
        <w:t xml:space="preserve"> , etc., ce qui n’est pas pratique. C’est pour cette raison qu’on calcule une moyenne sur 5 valeurs mais en prenant soin de pondérer les deux valeurs extrêmes par 1/2 au lieu de 1 pour les autres valeurs. Il faut quand même veiller à diviser par 4 (et non par 5) ! Ceci nous garantit que chaque valeur n’est prise en compte qu’une seule fois.</w:t>
      </w: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Default"/>
        <w:jc w:val="both"/>
        <w:rPr>
          <w:rFonts w:ascii="Times New Roman" w:hAnsi="Times New Roman" w:cs="Times New Roman"/>
          <w:vertAlign w:val="subscript"/>
        </w:rPr>
      </w:pPr>
      <w:r w:rsidRPr="00A83B39">
        <w:rPr>
          <w:rFonts w:ascii="Times New Roman" w:hAnsi="Times New Roman" w:cs="Times New Roman"/>
        </w:rPr>
        <w:t>Nous aurons donc les moyennes mobiles d’ordre 4 suivantes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023"/>
        <w:gridCol w:w="1023"/>
        <w:gridCol w:w="1023"/>
        <w:gridCol w:w="1024"/>
        <w:gridCol w:w="1024"/>
        <w:gridCol w:w="1024"/>
        <w:gridCol w:w="1024"/>
        <w:gridCol w:w="1024"/>
      </w:tblGrid>
      <w:tr w:rsidR="00D87A97" w:rsidRPr="00A83B39" w:rsidTr="003F50D4">
        <w:trPr>
          <w:jc w:val="center"/>
        </w:trPr>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1</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2</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3</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4</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5</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6</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7</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8</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t</w:t>
            </w:r>
            <w:r w:rsidRPr="00A83B39">
              <w:rPr>
                <w:rFonts w:ascii="Times New Roman" w:hAnsi="Times New Roman" w:cs="Times New Roman"/>
                <w:vertAlign w:val="subscript"/>
              </w:rPr>
              <w:t>9</w:t>
            </w:r>
          </w:p>
        </w:tc>
      </w:tr>
      <w:tr w:rsidR="00D87A97" w:rsidRPr="00A83B39" w:rsidTr="003F50D4">
        <w:trPr>
          <w:jc w:val="center"/>
        </w:trPr>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6</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3</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7</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3</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6</w:t>
            </w:r>
          </w:p>
        </w:tc>
      </w:tr>
      <w:tr w:rsidR="00D87A97" w:rsidRPr="00A83B39" w:rsidTr="003F50D4">
        <w:trPr>
          <w:jc w:val="center"/>
        </w:trPr>
        <w:tc>
          <w:tcPr>
            <w:tcW w:w="1023" w:type="dxa"/>
            <w:vAlign w:val="center"/>
          </w:tcPr>
          <w:p w:rsidR="00D87A97" w:rsidRPr="00A83B39" w:rsidRDefault="00D87A97" w:rsidP="003F50D4">
            <w:pPr>
              <w:pStyle w:val="Default"/>
              <w:jc w:val="center"/>
              <w:rPr>
                <w:rFonts w:ascii="Times New Roman" w:hAnsi="Times New Roman" w:cs="Times New Roman"/>
              </w:rPr>
            </w:pPr>
          </w:p>
        </w:tc>
        <w:tc>
          <w:tcPr>
            <w:tcW w:w="1023" w:type="dxa"/>
            <w:vAlign w:val="center"/>
          </w:tcPr>
          <w:p w:rsidR="00D87A97" w:rsidRPr="00A83B39" w:rsidRDefault="00D87A97" w:rsidP="003F50D4">
            <w:pPr>
              <w:pStyle w:val="Default"/>
              <w:jc w:val="center"/>
              <w:rPr>
                <w:rFonts w:ascii="Times New Roman" w:hAnsi="Times New Roman" w:cs="Times New Roman"/>
              </w:rPr>
            </w:pP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4.88</w:t>
            </w:r>
          </w:p>
        </w:tc>
        <w:tc>
          <w:tcPr>
            <w:tcW w:w="1023"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5.13</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4.88</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4.75</w:t>
            </w:r>
          </w:p>
        </w:tc>
        <w:tc>
          <w:tcPr>
            <w:tcW w:w="1024" w:type="dxa"/>
            <w:vAlign w:val="center"/>
          </w:tcPr>
          <w:p w:rsidR="00D87A97" w:rsidRPr="00A83B39" w:rsidRDefault="00D87A97" w:rsidP="003F50D4">
            <w:pPr>
              <w:pStyle w:val="Default"/>
              <w:jc w:val="center"/>
              <w:rPr>
                <w:rFonts w:ascii="Times New Roman" w:hAnsi="Times New Roman" w:cs="Times New Roman"/>
              </w:rPr>
            </w:pPr>
            <w:r w:rsidRPr="00A83B39">
              <w:rPr>
                <w:rFonts w:ascii="Times New Roman" w:hAnsi="Times New Roman" w:cs="Times New Roman"/>
              </w:rPr>
              <w:t>4.63</w:t>
            </w:r>
          </w:p>
        </w:tc>
        <w:tc>
          <w:tcPr>
            <w:tcW w:w="1024" w:type="dxa"/>
            <w:vAlign w:val="center"/>
          </w:tcPr>
          <w:p w:rsidR="00D87A97" w:rsidRPr="00A83B39" w:rsidRDefault="00D87A97" w:rsidP="003F50D4">
            <w:pPr>
              <w:pStyle w:val="Default"/>
              <w:jc w:val="center"/>
              <w:rPr>
                <w:rFonts w:ascii="Times New Roman" w:hAnsi="Times New Roman" w:cs="Times New Roman"/>
              </w:rPr>
            </w:pPr>
          </w:p>
        </w:tc>
        <w:tc>
          <w:tcPr>
            <w:tcW w:w="1024" w:type="dxa"/>
            <w:vAlign w:val="center"/>
          </w:tcPr>
          <w:p w:rsidR="00D87A97" w:rsidRPr="00A83B39" w:rsidRDefault="00D87A97" w:rsidP="003F50D4">
            <w:pPr>
              <w:pStyle w:val="Default"/>
              <w:jc w:val="center"/>
              <w:rPr>
                <w:rFonts w:ascii="Times New Roman" w:hAnsi="Times New Roman" w:cs="Times New Roman"/>
              </w:rPr>
            </w:pPr>
          </w:p>
        </w:tc>
      </w:tr>
    </w:tbl>
    <w:p w:rsidR="00D87A97" w:rsidRPr="00A83B39" w:rsidRDefault="00D87A97" w:rsidP="00D87A97">
      <w:pPr>
        <w:pStyle w:val="Default"/>
        <w:rPr>
          <w:rFonts w:ascii="Times New Roman" w:hAnsi="Times New Roman" w:cs="Times New Roman"/>
          <w:sz w:val="23"/>
        </w:rPr>
      </w:pP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Pour mieux comprendre, voici le calcul pour t</w:t>
      </w:r>
      <w:r w:rsidRPr="00A83B39">
        <w:rPr>
          <w:rFonts w:ascii="Times New Roman" w:hAnsi="Times New Roman" w:cs="Times New Roman"/>
          <w:vertAlign w:val="subscript"/>
        </w:rPr>
        <w:t xml:space="preserve">3 </w:t>
      </w:r>
      <w:r w:rsidRPr="00A83B39">
        <w:rPr>
          <w:rFonts w:ascii="Times New Roman" w:hAnsi="Times New Roman" w:cs="Times New Roman"/>
        </w:rPr>
        <w:t>de la moyenne mobile d’ordre 4 :</w:t>
      </w:r>
    </w:p>
    <w:p w:rsidR="00D87A97" w:rsidRPr="00A83B39" w:rsidRDefault="00D87A97" w:rsidP="00D87A97">
      <w:pPr>
        <w:pStyle w:val="Default"/>
        <w:jc w:val="both"/>
        <w:rPr>
          <w:rFonts w:ascii="Times New Roman" w:hAnsi="Times New Roman" w:cs="Times New Roman"/>
        </w:rPr>
      </w:pPr>
      <w:r w:rsidRPr="00A83B39">
        <w:rPr>
          <w:rFonts w:ascii="Times New Roman" w:hAnsi="Times New Roman" w:cs="Times New Roman"/>
        </w:rPr>
        <w:t xml:space="preserve"> </w:t>
      </w:r>
      <m:oMath>
        <m:f>
          <m:fPr>
            <m:ctrlPr>
              <w:rPr>
                <w:rFonts w:ascii="Cambria Math" w:hAnsi="Cambria Math"/>
                <w:i/>
              </w:rPr>
            </m:ctrlPr>
          </m:fPr>
          <m:num>
            <m:f>
              <m:fPr>
                <m:ctrlPr>
                  <w:rPr>
                    <w:rFonts w:ascii="Cambria Math" w:hAnsi="Cambria Math"/>
                    <w:i/>
                  </w:rPr>
                </m:ctrlPr>
              </m:fPr>
              <m:num>
                <m:r>
                  <w:rPr>
                    <w:rFonts w:ascii="Cambria Math"/>
                  </w:rPr>
                  <m:t>1</m:t>
                </m:r>
              </m:num>
              <m:den>
                <m:r>
                  <w:rPr>
                    <w:rFonts w:ascii="Cambria Math"/>
                  </w:rPr>
                  <m:t>2</m:t>
                </m:r>
              </m:den>
            </m:f>
            <m:r>
              <w:rPr>
                <w:rFonts w:ascii="Cambria Math"/>
              </w:rPr>
              <m:t>4+6+5+3+</m:t>
            </m:r>
            <m:f>
              <m:fPr>
                <m:ctrlPr>
                  <w:rPr>
                    <w:rFonts w:ascii="Cambria Math" w:hAnsi="Cambria Math"/>
                    <w:i/>
                  </w:rPr>
                </m:ctrlPr>
              </m:fPr>
              <m:num>
                <m:r>
                  <w:rPr>
                    <w:rFonts w:ascii="Cambria Math"/>
                  </w:rPr>
                  <m:t>1</m:t>
                </m:r>
              </m:num>
              <m:den>
                <m:r>
                  <w:rPr>
                    <w:rFonts w:ascii="Cambria Math"/>
                  </w:rPr>
                  <m:t>2</m:t>
                </m:r>
              </m:den>
            </m:f>
            <m:r>
              <w:rPr>
                <w:rFonts w:ascii="Cambria Math"/>
              </w:rPr>
              <m:t>7</m:t>
            </m:r>
          </m:num>
          <m:den>
            <m:r>
              <w:rPr>
                <w:rFonts w:ascii="Cambria Math"/>
              </w:rPr>
              <m:t>4</m:t>
            </m:r>
          </m:den>
        </m:f>
        <m:r>
          <w:rPr>
            <w:rFonts w:ascii="Cambria Math" w:hAnsi="Cambria Math"/>
          </w:rPr>
          <m:t>≈</m:t>
        </m:r>
        <m:r>
          <w:rPr>
            <w:rFonts w:ascii="Cambria Math"/>
          </w:rPr>
          <m:t>4.88</m:t>
        </m:r>
      </m:oMath>
    </w:p>
    <w:p w:rsidR="00D87A97" w:rsidRPr="00A83B39" w:rsidRDefault="00D87A97" w:rsidP="00D87A97">
      <w:pPr>
        <w:pStyle w:val="Default"/>
        <w:rPr>
          <w:rFonts w:ascii="Times New Roman" w:hAnsi="Times New Roman" w:cs="Times New Roman"/>
        </w:rPr>
      </w:pPr>
    </w:p>
    <w:p w:rsidR="00D87A97" w:rsidRPr="00A83B39" w:rsidRDefault="00D87A97" w:rsidP="00D87A97">
      <w:pPr>
        <w:pStyle w:val="Default"/>
        <w:rPr>
          <w:rFonts w:ascii="Times New Roman" w:hAnsi="Times New Roman" w:cs="Times New Roman"/>
        </w:rPr>
      </w:pPr>
    </w:p>
    <w:p w:rsidR="00D87A97" w:rsidRPr="00A83B39" w:rsidRDefault="00D87A97" w:rsidP="00D87A97">
      <w:pPr>
        <w:pStyle w:val="ListParagraph"/>
        <w:numPr>
          <w:ilvl w:val="1"/>
          <w:numId w:val="38"/>
        </w:numPr>
        <w:ind w:left="788" w:hanging="431"/>
        <w:contextualSpacing w:val="0"/>
        <w:outlineLvl w:val="2"/>
        <w:rPr>
          <w:color w:val="000000"/>
          <w:sz w:val="24"/>
          <w:szCs w:val="24"/>
        </w:rPr>
      </w:pPr>
      <w:bookmarkStart w:id="101" w:name="_Toc351126815"/>
      <w:r w:rsidRPr="00A83B39">
        <w:rPr>
          <w:i/>
          <w:iCs/>
          <w:sz w:val="24"/>
          <w:szCs w:val="24"/>
        </w:rPr>
        <w:t>Estimation de la nature des mouvements saisonniers</w:t>
      </w:r>
      <w:bookmarkEnd w:id="101"/>
    </w:p>
    <w:p w:rsidR="00D87A97" w:rsidRPr="00A83B39" w:rsidRDefault="00D87A97" w:rsidP="00D87A97">
      <w:pPr>
        <w:autoSpaceDE w:val="0"/>
        <w:autoSpaceDN w:val="0"/>
        <w:adjustRightInd w:val="0"/>
        <w:rPr>
          <w:color w:val="000000"/>
          <w:sz w:val="24"/>
          <w:szCs w:val="24"/>
        </w:rPr>
      </w:pPr>
    </w:p>
    <w:p w:rsidR="00D87A97" w:rsidRPr="00A83B39" w:rsidRDefault="00D87A97" w:rsidP="00D87A97">
      <w:pPr>
        <w:autoSpaceDE w:val="0"/>
        <w:autoSpaceDN w:val="0"/>
        <w:adjustRightInd w:val="0"/>
        <w:rPr>
          <w:color w:val="000000"/>
          <w:sz w:val="24"/>
          <w:szCs w:val="24"/>
        </w:rPr>
      </w:pPr>
      <w:r w:rsidRPr="00A83B39">
        <w:rPr>
          <w:color w:val="000000"/>
          <w:sz w:val="24"/>
          <w:szCs w:val="24"/>
        </w:rPr>
        <w:t xml:space="preserve">Pour effectuer l’analyse des mouvements saisonniers, on essaie de déterminer si on est en présence d’une série dans laquelle pour une observation </w:t>
      </w:r>
      <w:r w:rsidRPr="00A83B39">
        <w:rPr>
          <w:i/>
          <w:iCs/>
          <w:color w:val="000000"/>
          <w:sz w:val="24"/>
          <w:szCs w:val="24"/>
        </w:rPr>
        <w:t xml:space="preserve">O </w:t>
      </w:r>
      <w:r w:rsidRPr="00A83B39">
        <w:rPr>
          <w:color w:val="000000"/>
          <w:sz w:val="24"/>
          <w:szCs w:val="24"/>
        </w:rPr>
        <w:t>donnée :</w:t>
      </w:r>
    </w:p>
    <w:p w:rsidR="00D87A97" w:rsidRPr="00A83B39" w:rsidRDefault="00D87A97" w:rsidP="00D87A97">
      <w:pPr>
        <w:autoSpaceDE w:val="0"/>
        <w:autoSpaceDN w:val="0"/>
        <w:adjustRightInd w:val="0"/>
        <w:rPr>
          <w:color w:val="000000"/>
          <w:sz w:val="24"/>
          <w:szCs w:val="24"/>
        </w:rPr>
      </w:pPr>
    </w:p>
    <w:p w:rsidR="00D87A97" w:rsidRPr="00A83B39" w:rsidRDefault="00D87A97" w:rsidP="00D87A97">
      <w:pPr>
        <w:pStyle w:val="ListParagraph"/>
        <w:numPr>
          <w:ilvl w:val="0"/>
          <w:numId w:val="39"/>
        </w:numPr>
        <w:autoSpaceDE w:val="0"/>
        <w:autoSpaceDN w:val="0"/>
        <w:adjustRightInd w:val="0"/>
        <w:rPr>
          <w:rStyle w:val="SC3516"/>
          <w:sz w:val="24"/>
          <w:szCs w:val="24"/>
        </w:rPr>
      </w:pPr>
      <w:r w:rsidRPr="00A83B39">
        <w:rPr>
          <w:rStyle w:val="SC3516"/>
          <w:sz w:val="24"/>
          <w:szCs w:val="24"/>
        </w:rPr>
        <w:t xml:space="preserve">la variation saisonnière </w:t>
      </w:r>
      <w:r w:rsidRPr="00A83B39">
        <w:rPr>
          <w:rStyle w:val="SC3516"/>
          <w:i/>
          <w:iCs/>
          <w:sz w:val="24"/>
          <w:szCs w:val="24"/>
        </w:rPr>
        <w:t xml:space="preserve">S </w:t>
      </w:r>
      <w:r w:rsidRPr="00A83B39">
        <w:rPr>
          <w:rStyle w:val="SC3516"/>
          <w:sz w:val="24"/>
          <w:szCs w:val="24"/>
        </w:rPr>
        <w:t xml:space="preserve">s’ajoute simplement à la résultante des autres composantes </w:t>
      </w:r>
      <w:r w:rsidRPr="00A83B39">
        <w:rPr>
          <w:rStyle w:val="SC3516"/>
          <w:i/>
          <w:iCs/>
          <w:sz w:val="24"/>
          <w:szCs w:val="24"/>
        </w:rPr>
        <w:t xml:space="preserve">R </w:t>
      </w:r>
      <w:r w:rsidRPr="00A83B39">
        <w:rPr>
          <w:rStyle w:val="SC3516"/>
          <w:sz w:val="24"/>
          <w:szCs w:val="24"/>
        </w:rPr>
        <w:t>; O = R+S</w:t>
      </w:r>
    </w:p>
    <w:p w:rsidR="00D87A97" w:rsidRPr="00A83B39" w:rsidRDefault="00D87A97" w:rsidP="00D87A97">
      <w:pPr>
        <w:pStyle w:val="ListParagraph"/>
        <w:autoSpaceDE w:val="0"/>
        <w:autoSpaceDN w:val="0"/>
        <w:adjustRightInd w:val="0"/>
        <w:rPr>
          <w:i/>
          <w:iCs/>
          <w:color w:val="000000"/>
          <w:sz w:val="24"/>
          <w:szCs w:val="24"/>
        </w:rPr>
      </w:pPr>
      <w:r w:rsidRPr="00A83B39">
        <w:rPr>
          <w:rStyle w:val="SC3516"/>
          <w:sz w:val="24"/>
          <w:szCs w:val="24"/>
        </w:rPr>
        <w:t xml:space="preserve">C’est le </w:t>
      </w:r>
      <w:r w:rsidRPr="00A83B39">
        <w:rPr>
          <w:rStyle w:val="SC3516"/>
          <w:i/>
          <w:iCs/>
          <w:sz w:val="24"/>
          <w:szCs w:val="24"/>
        </w:rPr>
        <w:t>modèle additif</w:t>
      </w:r>
    </w:p>
    <w:p w:rsidR="00D87A97" w:rsidRPr="00A83B39" w:rsidRDefault="00D87A97" w:rsidP="00D87A97">
      <w:pPr>
        <w:pStyle w:val="ListParagraph"/>
        <w:numPr>
          <w:ilvl w:val="0"/>
          <w:numId w:val="39"/>
        </w:numPr>
        <w:autoSpaceDE w:val="0"/>
        <w:autoSpaceDN w:val="0"/>
        <w:adjustRightInd w:val="0"/>
        <w:rPr>
          <w:color w:val="000000"/>
          <w:sz w:val="24"/>
          <w:szCs w:val="24"/>
        </w:rPr>
      </w:pPr>
      <w:r w:rsidRPr="00A83B39">
        <w:rPr>
          <w:rStyle w:val="SC3516"/>
          <w:sz w:val="24"/>
          <w:szCs w:val="24"/>
        </w:rPr>
        <w:lastRenderedPageBreak/>
        <w:t xml:space="preserve">la variation saisonnière </w:t>
      </w:r>
      <w:r w:rsidRPr="00A83B39">
        <w:rPr>
          <w:rStyle w:val="SC3516"/>
          <w:i/>
          <w:iCs/>
          <w:sz w:val="24"/>
          <w:szCs w:val="24"/>
        </w:rPr>
        <w:t xml:space="preserve">S </w:t>
      </w:r>
      <w:r w:rsidRPr="00A83B39">
        <w:rPr>
          <w:rStyle w:val="SC3516"/>
          <w:sz w:val="24"/>
          <w:szCs w:val="24"/>
        </w:rPr>
        <w:t xml:space="preserve">est proportionnelle à la résultante des autres composantes </w:t>
      </w:r>
      <w:r w:rsidRPr="00A83B39">
        <w:rPr>
          <w:rStyle w:val="SC3516"/>
          <w:i/>
          <w:iCs/>
          <w:sz w:val="24"/>
          <w:szCs w:val="24"/>
        </w:rPr>
        <w:t xml:space="preserve">R </w:t>
      </w:r>
      <w:r w:rsidRPr="00A83B39">
        <w:rPr>
          <w:rStyle w:val="SC3516"/>
          <w:sz w:val="24"/>
          <w:szCs w:val="24"/>
        </w:rPr>
        <w:t>: S=</w:t>
      </w:r>
      <w:proofErr w:type="spellStart"/>
      <w:r w:rsidRPr="00A83B39">
        <w:rPr>
          <w:rStyle w:val="SC3516"/>
          <w:sz w:val="24"/>
          <w:szCs w:val="24"/>
        </w:rPr>
        <w:t>cR</w:t>
      </w:r>
      <w:proofErr w:type="spellEnd"/>
      <w:r w:rsidRPr="00A83B39">
        <w:rPr>
          <w:rStyle w:val="SC3516"/>
          <w:sz w:val="24"/>
          <w:szCs w:val="24"/>
        </w:rPr>
        <w:t xml:space="preserve"> et alors O=R+S=</w:t>
      </w:r>
      <w:proofErr w:type="spellStart"/>
      <w:r w:rsidRPr="00A83B39">
        <w:rPr>
          <w:rStyle w:val="SC3516"/>
          <w:sz w:val="24"/>
          <w:szCs w:val="24"/>
        </w:rPr>
        <w:t>R+cR</w:t>
      </w:r>
      <w:proofErr w:type="spellEnd"/>
      <w:r w:rsidRPr="00A83B39">
        <w:rPr>
          <w:rStyle w:val="SC3516"/>
          <w:sz w:val="24"/>
          <w:szCs w:val="24"/>
        </w:rPr>
        <w:t>= (1+c)R</w:t>
      </w:r>
    </w:p>
    <w:p w:rsidR="00D87A97" w:rsidRPr="00A83B39" w:rsidRDefault="00D87A97" w:rsidP="00D87A97">
      <w:pPr>
        <w:pStyle w:val="ListParagraph"/>
        <w:autoSpaceDE w:val="0"/>
        <w:autoSpaceDN w:val="0"/>
        <w:adjustRightInd w:val="0"/>
        <w:rPr>
          <w:rStyle w:val="SC3516"/>
          <w:sz w:val="24"/>
          <w:szCs w:val="24"/>
        </w:rPr>
      </w:pPr>
      <w:r w:rsidRPr="00A83B39">
        <w:rPr>
          <w:rStyle w:val="SC3516"/>
          <w:sz w:val="24"/>
          <w:szCs w:val="24"/>
        </w:rPr>
        <w:t xml:space="preserve">C’est le </w:t>
      </w:r>
      <w:r w:rsidRPr="00A83B39">
        <w:rPr>
          <w:rStyle w:val="SC3516"/>
          <w:i/>
          <w:iCs/>
          <w:sz w:val="24"/>
          <w:szCs w:val="24"/>
        </w:rPr>
        <w:t>modèle multiplicatif</w:t>
      </w:r>
      <w:r w:rsidRPr="00A83B39">
        <w:rPr>
          <w:rStyle w:val="SC3516"/>
          <w:sz w:val="24"/>
          <w:szCs w:val="24"/>
        </w:rPr>
        <w:t>.</w:t>
      </w:r>
    </w:p>
    <w:p w:rsidR="00D87A97" w:rsidRPr="00A83B39" w:rsidRDefault="00D87A97" w:rsidP="00D87A97">
      <w:pPr>
        <w:pStyle w:val="ListParagraph"/>
        <w:autoSpaceDE w:val="0"/>
        <w:autoSpaceDN w:val="0"/>
        <w:adjustRightInd w:val="0"/>
        <w:rPr>
          <w:rStyle w:val="SC3516"/>
          <w:sz w:val="24"/>
          <w:szCs w:val="24"/>
        </w:rPr>
      </w:pPr>
    </w:p>
    <w:p w:rsidR="00D87A97" w:rsidRPr="00A83B39" w:rsidRDefault="00D87A97" w:rsidP="00D87A97">
      <w:pPr>
        <w:pStyle w:val="ListParagraph"/>
        <w:numPr>
          <w:ilvl w:val="2"/>
          <w:numId w:val="38"/>
        </w:numPr>
        <w:autoSpaceDE w:val="0"/>
        <w:autoSpaceDN w:val="0"/>
        <w:adjustRightInd w:val="0"/>
        <w:ind w:left="1225" w:hanging="505"/>
        <w:outlineLvl w:val="3"/>
        <w:rPr>
          <w:i/>
          <w:iCs/>
          <w:sz w:val="24"/>
          <w:szCs w:val="24"/>
        </w:rPr>
      </w:pPr>
      <w:bookmarkStart w:id="102" w:name="_Toc351126816"/>
      <w:r w:rsidRPr="00A83B39">
        <w:rPr>
          <w:i/>
          <w:iCs/>
          <w:sz w:val="24"/>
          <w:szCs w:val="24"/>
        </w:rPr>
        <w:t>Méthode graphique :</w:t>
      </w:r>
      <w:bookmarkEnd w:id="102"/>
    </w:p>
    <w:p w:rsidR="00D87A97" w:rsidRPr="00A83B39" w:rsidRDefault="00D87A97" w:rsidP="00D87A97">
      <w:pPr>
        <w:autoSpaceDE w:val="0"/>
        <w:autoSpaceDN w:val="0"/>
        <w:adjustRightInd w:val="0"/>
        <w:rPr>
          <w:color w:val="000000"/>
          <w:sz w:val="24"/>
          <w:szCs w:val="24"/>
        </w:rPr>
      </w:pPr>
      <w:r w:rsidRPr="00A83B39">
        <w:rPr>
          <w:color w:val="000000"/>
          <w:sz w:val="24"/>
          <w:szCs w:val="24"/>
        </w:rPr>
        <w:t>Afin de faire cette distinction, on peut se baser sur une méthode graphique : on fait un graphique représentant la série chronologique, puis on trace une droite passant respectivement par les minima et par les maxima de chaque saison. Si ces deux droites sont parallèles, nous sommes en  présence d’un modèle additif. Dans le cas contraire, c’est un modèle multiplicatif.</w:t>
      </w:r>
    </w:p>
    <w:p w:rsidR="00D87A97" w:rsidRPr="00A83B39" w:rsidRDefault="00D87A97" w:rsidP="00D87A97">
      <w:pPr>
        <w:autoSpaceDE w:val="0"/>
        <w:autoSpaceDN w:val="0"/>
        <w:adjustRightInd w:val="0"/>
        <w:rPr>
          <w:color w:val="000000"/>
          <w:sz w:val="24"/>
          <w:szCs w:val="24"/>
        </w:rPr>
      </w:pPr>
      <w:r w:rsidRPr="00A83B39">
        <w:rPr>
          <w:color w:val="000000"/>
          <w:sz w:val="24"/>
          <w:szCs w:val="24"/>
        </w:rPr>
        <w:t xml:space="preserve"> </w:t>
      </w:r>
    </w:p>
    <w:p w:rsidR="00D87A97" w:rsidRPr="00A83B39" w:rsidRDefault="00D87A97" w:rsidP="00D87A97">
      <w:pPr>
        <w:autoSpaceDE w:val="0"/>
        <w:autoSpaceDN w:val="0"/>
        <w:adjustRightInd w:val="0"/>
        <w:rPr>
          <w:color w:val="000000"/>
          <w:sz w:val="24"/>
          <w:szCs w:val="24"/>
        </w:rPr>
      </w:pPr>
      <w:r w:rsidRPr="00A83B39">
        <w:rPr>
          <w:color w:val="000000"/>
          <w:sz w:val="24"/>
          <w:szCs w:val="24"/>
        </w:rPr>
        <w:t>Exemple :</w:t>
      </w:r>
    </w:p>
    <w:p w:rsidR="00D87A97" w:rsidRPr="00A83B39" w:rsidRDefault="00D87A97" w:rsidP="00D87A97">
      <w:pPr>
        <w:autoSpaceDE w:val="0"/>
        <w:autoSpaceDN w:val="0"/>
        <w:adjustRightInd w:val="0"/>
        <w:rPr>
          <w:color w:val="000000"/>
          <w:sz w:val="24"/>
          <w:szCs w:val="24"/>
        </w:rPr>
      </w:pPr>
      <w:r w:rsidRPr="00A83B39">
        <w:rPr>
          <w:color w:val="000000"/>
          <w:sz w:val="24"/>
          <w:szCs w:val="24"/>
        </w:rPr>
        <w:t xml:space="preserve"> Nous étudions ces méthodes sur un exemple concret en nous basant sur la série chronologique “Nouveaux contrats d’assurances souscrits selon le mois”</w:t>
      </w:r>
    </w:p>
    <w:p w:rsidR="00D87A97" w:rsidRPr="00A83B39" w:rsidRDefault="00D87A97" w:rsidP="00D87A97">
      <w:pPr>
        <w:autoSpaceDE w:val="0"/>
        <w:autoSpaceDN w:val="0"/>
        <w:adjustRightInd w:val="0"/>
        <w:jc w:val="left"/>
        <w:rPr>
          <w:color w:val="000000"/>
          <w:sz w:val="23"/>
        </w:rPr>
      </w:pPr>
    </w:p>
    <w:tbl>
      <w:tblPr>
        <w:tblW w:w="10629" w:type="dxa"/>
        <w:jc w:val="center"/>
        <w:tblBorders>
          <w:top w:val="nil"/>
          <w:left w:val="nil"/>
          <w:bottom w:val="nil"/>
          <w:right w:val="nil"/>
        </w:tblBorders>
        <w:tblLayout w:type="fixed"/>
        <w:tblLook w:val="0000" w:firstRow="0" w:lastRow="0" w:firstColumn="0" w:lastColumn="0" w:noHBand="0" w:noVBand="0"/>
      </w:tblPr>
      <w:tblGrid>
        <w:gridCol w:w="776"/>
        <w:gridCol w:w="826"/>
        <w:gridCol w:w="826"/>
        <w:gridCol w:w="714"/>
        <w:gridCol w:w="714"/>
        <w:gridCol w:w="714"/>
        <w:gridCol w:w="714"/>
        <w:gridCol w:w="714"/>
        <w:gridCol w:w="666"/>
        <w:gridCol w:w="1076"/>
        <w:gridCol w:w="851"/>
        <w:gridCol w:w="992"/>
        <w:gridCol w:w="1046"/>
      </w:tblGrid>
      <w:tr w:rsidR="00D87A97" w:rsidRPr="00A83B39" w:rsidTr="003F50D4">
        <w:trPr>
          <w:trHeight w:val="550"/>
          <w:jc w:val="center"/>
        </w:trPr>
        <w:tc>
          <w:tcPr>
            <w:tcW w:w="7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rPr>
            </w:pPr>
            <w:r w:rsidRPr="00A83B39">
              <w:rPr>
                <w:rStyle w:val="SC3533"/>
                <w:sz w:val="18"/>
              </w:rPr>
              <w:t>Année</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rPr>
            </w:pPr>
            <w:r w:rsidRPr="00A83B39">
              <w:rPr>
                <w:rStyle w:val="SC3533"/>
                <w:sz w:val="18"/>
              </w:rPr>
              <w:t>Janvier</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rPr>
            </w:pPr>
            <w:r w:rsidRPr="00A83B39">
              <w:rPr>
                <w:rStyle w:val="SC3533"/>
                <w:sz w:val="18"/>
              </w:rPr>
              <w:t>Février</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Mars</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rPr>
            </w:pPr>
            <w:r w:rsidRPr="00A83B39">
              <w:rPr>
                <w:rStyle w:val="SC3533"/>
                <w:sz w:val="18"/>
              </w:rPr>
              <w:t>Avril</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Mai</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Juin</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rPr>
            </w:pPr>
            <w:r w:rsidRPr="00A83B39">
              <w:rPr>
                <w:rStyle w:val="SC3533"/>
                <w:sz w:val="18"/>
              </w:rPr>
              <w:t>Juillet</w:t>
            </w:r>
          </w:p>
        </w:tc>
        <w:tc>
          <w:tcPr>
            <w:tcW w:w="66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rPr>
            </w:pPr>
            <w:r w:rsidRPr="00A83B39">
              <w:rPr>
                <w:rStyle w:val="SC3533"/>
                <w:sz w:val="18"/>
              </w:rPr>
              <w:t>Août</w:t>
            </w:r>
          </w:p>
        </w:tc>
        <w:tc>
          <w:tcPr>
            <w:tcW w:w="10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rPr>
            </w:pPr>
            <w:r w:rsidRPr="00A83B39">
              <w:rPr>
                <w:rStyle w:val="SC3533"/>
                <w:sz w:val="18"/>
              </w:rPr>
              <w:t>Septembre</w:t>
            </w:r>
          </w:p>
        </w:tc>
        <w:tc>
          <w:tcPr>
            <w:tcW w:w="851"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rPr>
            </w:pPr>
            <w:r w:rsidRPr="00A83B39">
              <w:rPr>
                <w:rStyle w:val="SC3533"/>
                <w:sz w:val="18"/>
              </w:rPr>
              <w:t>Octobre</w:t>
            </w:r>
          </w:p>
        </w:tc>
        <w:tc>
          <w:tcPr>
            <w:tcW w:w="992"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rPr>
            </w:pPr>
            <w:r w:rsidRPr="00A83B39">
              <w:rPr>
                <w:rStyle w:val="SC3533"/>
                <w:sz w:val="18"/>
              </w:rPr>
              <w:t>Novembre</w:t>
            </w:r>
          </w:p>
        </w:tc>
        <w:tc>
          <w:tcPr>
            <w:tcW w:w="104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Décembre</w:t>
            </w:r>
          </w:p>
        </w:tc>
      </w:tr>
      <w:tr w:rsidR="00D87A97" w:rsidRPr="00A83B39" w:rsidTr="003F50D4">
        <w:trPr>
          <w:trHeight w:val="160"/>
          <w:jc w:val="center"/>
        </w:trPr>
        <w:tc>
          <w:tcPr>
            <w:tcW w:w="7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1996</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2006</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3224</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3789</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4153</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3100</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2527</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3015</w:t>
            </w:r>
          </w:p>
        </w:tc>
        <w:tc>
          <w:tcPr>
            <w:tcW w:w="66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1504</w:t>
            </w:r>
          </w:p>
        </w:tc>
        <w:tc>
          <w:tcPr>
            <w:tcW w:w="10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1847</w:t>
            </w:r>
          </w:p>
        </w:tc>
        <w:tc>
          <w:tcPr>
            <w:tcW w:w="851"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2314</w:t>
            </w:r>
          </w:p>
        </w:tc>
        <w:tc>
          <w:tcPr>
            <w:tcW w:w="992"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1673</w:t>
            </w:r>
          </w:p>
        </w:tc>
        <w:tc>
          <w:tcPr>
            <w:tcW w:w="104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1602</w:t>
            </w:r>
          </w:p>
        </w:tc>
      </w:tr>
      <w:tr w:rsidR="00D87A97" w:rsidRPr="00A83B39" w:rsidTr="003F50D4">
        <w:trPr>
          <w:trHeight w:val="160"/>
          <w:jc w:val="center"/>
        </w:trPr>
        <w:tc>
          <w:tcPr>
            <w:tcW w:w="7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1997</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2247</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3862</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3586</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4047</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2838</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2727</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2730</w:t>
            </w:r>
          </w:p>
        </w:tc>
        <w:tc>
          <w:tcPr>
            <w:tcW w:w="66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1648</w:t>
            </w:r>
          </w:p>
        </w:tc>
        <w:tc>
          <w:tcPr>
            <w:tcW w:w="10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2007</w:t>
            </w:r>
          </w:p>
        </w:tc>
        <w:tc>
          <w:tcPr>
            <w:tcW w:w="851"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2450</w:t>
            </w:r>
          </w:p>
        </w:tc>
        <w:tc>
          <w:tcPr>
            <w:tcW w:w="992"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1966</w:t>
            </w:r>
          </w:p>
        </w:tc>
        <w:tc>
          <w:tcPr>
            <w:tcW w:w="104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1695</w:t>
            </w:r>
          </w:p>
        </w:tc>
      </w:tr>
      <w:tr w:rsidR="00D87A97" w:rsidRPr="00A83B39" w:rsidTr="003F50D4">
        <w:trPr>
          <w:trHeight w:val="160"/>
          <w:jc w:val="center"/>
        </w:trPr>
        <w:tc>
          <w:tcPr>
            <w:tcW w:w="7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1998</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2433</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3723</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4325</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4493</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3399</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3083</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3247</w:t>
            </w:r>
          </w:p>
        </w:tc>
        <w:tc>
          <w:tcPr>
            <w:tcW w:w="66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1928</w:t>
            </w:r>
          </w:p>
        </w:tc>
        <w:tc>
          <w:tcPr>
            <w:tcW w:w="10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2377</w:t>
            </w:r>
          </w:p>
        </w:tc>
        <w:tc>
          <w:tcPr>
            <w:tcW w:w="851"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2831</w:t>
            </w:r>
          </w:p>
        </w:tc>
        <w:tc>
          <w:tcPr>
            <w:tcW w:w="992"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2388</w:t>
            </w:r>
          </w:p>
        </w:tc>
        <w:tc>
          <w:tcPr>
            <w:tcW w:w="104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2126</w:t>
            </w:r>
          </w:p>
        </w:tc>
      </w:tr>
      <w:tr w:rsidR="00D87A97" w:rsidRPr="00A83B39" w:rsidTr="003F50D4">
        <w:trPr>
          <w:trHeight w:val="160"/>
          <w:jc w:val="center"/>
        </w:trPr>
        <w:tc>
          <w:tcPr>
            <w:tcW w:w="7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1999</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3127</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4437</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5478</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4384</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3552</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3678</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3611</w:t>
            </w:r>
          </w:p>
        </w:tc>
        <w:tc>
          <w:tcPr>
            <w:tcW w:w="66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2260</w:t>
            </w:r>
          </w:p>
        </w:tc>
        <w:tc>
          <w:tcPr>
            <w:tcW w:w="10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2699</w:t>
            </w:r>
          </w:p>
        </w:tc>
        <w:tc>
          <w:tcPr>
            <w:tcW w:w="851"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3071</w:t>
            </w:r>
          </w:p>
        </w:tc>
        <w:tc>
          <w:tcPr>
            <w:tcW w:w="992"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2510</w:t>
            </w:r>
          </w:p>
        </w:tc>
        <w:tc>
          <w:tcPr>
            <w:tcW w:w="104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2182</w:t>
            </w:r>
          </w:p>
        </w:tc>
      </w:tr>
      <w:tr w:rsidR="00D87A97" w:rsidRPr="00A83B39" w:rsidTr="003F50D4">
        <w:trPr>
          <w:trHeight w:val="160"/>
          <w:jc w:val="center"/>
        </w:trPr>
        <w:tc>
          <w:tcPr>
            <w:tcW w:w="7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2000</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3016</w:t>
            </w:r>
          </w:p>
        </w:tc>
        <w:tc>
          <w:tcPr>
            <w:tcW w:w="82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4671</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5218</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4746</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4814</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3545</w:t>
            </w:r>
          </w:p>
        </w:tc>
        <w:tc>
          <w:tcPr>
            <w:tcW w:w="714"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3341</w:t>
            </w:r>
          </w:p>
        </w:tc>
        <w:tc>
          <w:tcPr>
            <w:tcW w:w="66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2439</w:t>
            </w:r>
          </w:p>
        </w:tc>
        <w:tc>
          <w:tcPr>
            <w:tcW w:w="107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2637</w:t>
            </w:r>
          </w:p>
        </w:tc>
        <w:tc>
          <w:tcPr>
            <w:tcW w:w="851"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3085</w:t>
            </w:r>
          </w:p>
        </w:tc>
        <w:tc>
          <w:tcPr>
            <w:tcW w:w="992"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2737</w:t>
            </w:r>
          </w:p>
        </w:tc>
        <w:tc>
          <w:tcPr>
            <w:tcW w:w="1046" w:type="dxa"/>
            <w:tcBorders>
              <w:top w:val="single" w:sz="4" w:space="0" w:color="auto"/>
              <w:left w:val="single" w:sz="4" w:space="0" w:color="auto"/>
              <w:bottom w:val="single" w:sz="4" w:space="0" w:color="auto"/>
              <w:right w:val="single" w:sz="4" w:space="0" w:color="auto"/>
            </w:tcBorders>
            <w:vAlign w:val="center"/>
          </w:tcPr>
          <w:p w:rsidR="00D87A97" w:rsidRPr="00A83B39" w:rsidRDefault="00D87A97" w:rsidP="003F50D4">
            <w:pPr>
              <w:pStyle w:val="SP217133"/>
              <w:spacing w:after="80"/>
              <w:jc w:val="center"/>
              <w:rPr>
                <w:color w:val="000000"/>
                <w:sz w:val="18"/>
                <w:szCs w:val="20"/>
              </w:rPr>
            </w:pPr>
            <w:r w:rsidRPr="00A83B39">
              <w:rPr>
                <w:rStyle w:val="SC3533"/>
                <w:sz w:val="18"/>
              </w:rPr>
              <w:t>2055</w:t>
            </w:r>
          </w:p>
        </w:tc>
      </w:tr>
    </w:tbl>
    <w:p w:rsidR="00D87A97" w:rsidRPr="00A83B39" w:rsidRDefault="00D87A97" w:rsidP="00D87A97">
      <w:pPr>
        <w:autoSpaceDE w:val="0"/>
        <w:autoSpaceDN w:val="0"/>
        <w:adjustRightInd w:val="0"/>
        <w:jc w:val="left"/>
        <w:rPr>
          <w:color w:val="000000"/>
          <w:szCs w:val="22"/>
        </w:rPr>
      </w:pPr>
    </w:p>
    <w:p w:rsidR="00D87A97" w:rsidRPr="00A83B39" w:rsidRDefault="00D87A97" w:rsidP="00D87A97">
      <w:pPr>
        <w:autoSpaceDE w:val="0"/>
        <w:autoSpaceDN w:val="0"/>
        <w:adjustRightInd w:val="0"/>
        <w:jc w:val="left"/>
        <w:rPr>
          <w:color w:val="000000"/>
          <w:szCs w:val="22"/>
        </w:rPr>
      </w:pPr>
    </w:p>
    <w:p w:rsidR="00D87A97" w:rsidRPr="00A83B39" w:rsidRDefault="00D87A97" w:rsidP="00D87A97">
      <w:pPr>
        <w:autoSpaceDE w:val="0"/>
        <w:autoSpaceDN w:val="0"/>
        <w:adjustRightInd w:val="0"/>
        <w:jc w:val="left"/>
        <w:rPr>
          <w:color w:val="000000"/>
          <w:szCs w:val="22"/>
        </w:rPr>
      </w:pPr>
      <w:r>
        <w:rPr>
          <w:noProof/>
          <w:color w:val="000000"/>
          <w:szCs w:val="22"/>
        </w:rPr>
        <w:drawing>
          <wp:inline distT="0" distB="0" distL="0" distR="0">
            <wp:extent cx="5210810" cy="2885440"/>
            <wp:effectExtent l="0" t="0" r="27940" b="10160"/>
            <wp:docPr id="71" name="Chart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7A97" w:rsidRPr="00A83B39" w:rsidRDefault="00D87A97" w:rsidP="00D87A97">
      <w:pPr>
        <w:autoSpaceDE w:val="0"/>
        <w:autoSpaceDN w:val="0"/>
        <w:adjustRightInd w:val="0"/>
        <w:jc w:val="left"/>
        <w:rPr>
          <w:color w:val="000000"/>
          <w:szCs w:val="22"/>
        </w:rPr>
      </w:pPr>
    </w:p>
    <w:p w:rsidR="00D87A97" w:rsidRPr="00A83B39" w:rsidRDefault="00D87A97" w:rsidP="00D87A97">
      <w:pPr>
        <w:pStyle w:val="SP217108"/>
        <w:spacing w:before="360"/>
        <w:jc w:val="both"/>
        <w:rPr>
          <w:color w:val="000000"/>
        </w:rPr>
      </w:pPr>
      <w:r w:rsidRPr="00A83B39">
        <w:rPr>
          <w:color w:val="000000"/>
        </w:rPr>
        <w:t>Sur cet exemple, nous constatons que les deux droites ne sont pas parallèles, nous sommes donc en présence d’un modèle multiplicatif.</w:t>
      </w:r>
    </w:p>
    <w:p w:rsidR="00D87A97" w:rsidRPr="00A83B39" w:rsidRDefault="00D87A97" w:rsidP="00D87A97">
      <w:pPr>
        <w:pStyle w:val="Default"/>
        <w:jc w:val="both"/>
        <w:rPr>
          <w:rFonts w:ascii="Times New Roman" w:hAnsi="Times New Roman" w:cs="Times New Roman"/>
        </w:rPr>
      </w:pPr>
    </w:p>
    <w:p w:rsidR="00D87A97" w:rsidRPr="00A83B39" w:rsidRDefault="00D87A97" w:rsidP="00D87A97">
      <w:pPr>
        <w:pStyle w:val="ListParagraph"/>
        <w:numPr>
          <w:ilvl w:val="2"/>
          <w:numId w:val="38"/>
        </w:numPr>
        <w:autoSpaceDE w:val="0"/>
        <w:autoSpaceDN w:val="0"/>
        <w:adjustRightInd w:val="0"/>
        <w:ind w:left="1225" w:hanging="505"/>
        <w:outlineLvl w:val="3"/>
        <w:rPr>
          <w:i/>
          <w:iCs/>
          <w:sz w:val="24"/>
          <w:szCs w:val="24"/>
        </w:rPr>
      </w:pPr>
      <w:bookmarkStart w:id="103" w:name="_Toc351126817"/>
      <w:r w:rsidRPr="00A83B39">
        <w:rPr>
          <w:i/>
          <w:iCs/>
          <w:sz w:val="24"/>
          <w:szCs w:val="24"/>
        </w:rPr>
        <w:t>Méthode analytique :</w:t>
      </w:r>
      <w:bookmarkEnd w:id="103"/>
    </w:p>
    <w:p w:rsidR="00D87A97" w:rsidRPr="00A83B39" w:rsidRDefault="00D87A97" w:rsidP="00D87A97">
      <w:pPr>
        <w:autoSpaceDE w:val="0"/>
        <w:autoSpaceDN w:val="0"/>
        <w:adjustRightInd w:val="0"/>
        <w:spacing w:before="280" w:after="140"/>
        <w:rPr>
          <w:color w:val="000000"/>
          <w:sz w:val="24"/>
          <w:szCs w:val="24"/>
        </w:rPr>
      </w:pPr>
      <w:r w:rsidRPr="00A83B39">
        <w:rPr>
          <w:color w:val="000000"/>
          <w:sz w:val="24"/>
          <w:szCs w:val="24"/>
        </w:rPr>
        <w:t xml:space="preserve"> On calcule les moyennes et écarts-types pour chacune des périodes considérées et on calcule la droite des moindres </w:t>
      </w:r>
      <w:proofErr w:type="gramStart"/>
      <w:r w:rsidRPr="00A83B39">
        <w:rPr>
          <w:color w:val="000000"/>
          <w:sz w:val="24"/>
          <w:szCs w:val="24"/>
        </w:rPr>
        <w:t xml:space="preserve">carrés </w:t>
      </w:r>
      <w:proofErr w:type="gramEnd"/>
      <m:oMath>
        <m:r>
          <w:rPr>
            <w:rFonts w:ascii="Cambria Math" w:hAnsi="Cambria Math"/>
            <w:color w:val="000000"/>
            <w:sz w:val="24"/>
            <w:szCs w:val="24"/>
          </w:rPr>
          <m:t>σ</m:t>
        </m:r>
        <m:r>
          <w:rPr>
            <w:rFonts w:ascii="Cambria Math"/>
            <w:color w:val="000000"/>
            <w:sz w:val="24"/>
            <w:szCs w:val="24"/>
          </w:rPr>
          <m:t>=</m:t>
        </m:r>
        <m:r>
          <w:rPr>
            <w:rFonts w:ascii="Cambria Math" w:hAnsi="Cambria Math"/>
            <w:color w:val="000000"/>
            <w:sz w:val="24"/>
            <w:szCs w:val="24"/>
          </w:rPr>
          <m:t>a</m:t>
        </m:r>
        <m:acc>
          <m:accPr>
            <m:chr m:val="̅"/>
            <m:ctrlPr>
              <w:rPr>
                <w:rFonts w:ascii="Cambria Math" w:hAnsi="Cambria Math"/>
                <w:i/>
                <w:color w:val="000000"/>
                <w:sz w:val="24"/>
                <w:szCs w:val="24"/>
              </w:rPr>
            </m:ctrlPr>
          </m:accPr>
          <m:e>
            <m:r>
              <w:rPr>
                <w:rFonts w:ascii="Cambria Math" w:hAnsi="Cambria Math"/>
                <w:color w:val="000000"/>
                <w:sz w:val="24"/>
                <w:szCs w:val="24"/>
              </w:rPr>
              <m:t>x</m:t>
            </m:r>
          </m:e>
        </m:acc>
        <m:r>
          <w:rPr>
            <w:rFonts w:ascii="Cambria Math"/>
            <w:color w:val="000000"/>
            <w:sz w:val="24"/>
            <w:szCs w:val="24"/>
          </w:rPr>
          <m:t>+</m:t>
        </m:r>
        <m:r>
          <w:rPr>
            <w:rFonts w:ascii="Cambria Math" w:hAnsi="Cambria Math"/>
            <w:color w:val="000000"/>
            <w:sz w:val="24"/>
            <w:szCs w:val="24"/>
          </w:rPr>
          <m:t>b</m:t>
        </m:r>
      </m:oMath>
      <w:r w:rsidRPr="00A83B39">
        <w:rPr>
          <w:color w:val="000000"/>
          <w:sz w:val="24"/>
          <w:szCs w:val="24"/>
        </w:rPr>
        <w:t xml:space="preserve">. Si </w:t>
      </w:r>
      <w:r w:rsidRPr="00A83B39">
        <w:rPr>
          <w:i/>
          <w:iCs/>
          <w:color w:val="000000"/>
          <w:sz w:val="24"/>
          <w:szCs w:val="24"/>
        </w:rPr>
        <w:t xml:space="preserve">a </w:t>
      </w:r>
      <w:r w:rsidRPr="00A83B39">
        <w:rPr>
          <w:color w:val="000000"/>
          <w:sz w:val="24"/>
          <w:szCs w:val="24"/>
        </w:rPr>
        <w:t xml:space="preserve">est nul, c’est un modèle additif, </w:t>
      </w:r>
      <w:proofErr w:type="gramStart"/>
      <w:r w:rsidRPr="00A83B39">
        <w:rPr>
          <w:color w:val="000000"/>
          <w:sz w:val="24"/>
          <w:szCs w:val="24"/>
        </w:rPr>
        <w:t xml:space="preserve">si </w:t>
      </w:r>
      <m:oMath>
        <m:r>
          <w:rPr>
            <w:rFonts w:ascii="Cambria Math" w:hAnsi="Cambria Math"/>
            <w:color w:val="000000"/>
            <w:sz w:val="24"/>
            <w:szCs w:val="24"/>
          </w:rPr>
          <m:t>≠</m:t>
        </m:r>
        <w:proofErr w:type="gramEnd"/>
        <m:r>
          <w:rPr>
            <w:rFonts w:ascii="Cambria Math"/>
            <w:color w:val="000000"/>
            <w:sz w:val="24"/>
            <w:szCs w:val="24"/>
          </w:rPr>
          <m:t>0</m:t>
        </m:r>
      </m:oMath>
      <w:r w:rsidRPr="00A83B39">
        <w:rPr>
          <w:color w:val="000000"/>
          <w:sz w:val="24"/>
          <w:szCs w:val="24"/>
        </w:rPr>
        <w:t xml:space="preserve"> , le modèle est multiplicatif.</w:t>
      </w:r>
    </w:p>
    <w:p w:rsidR="00D87A97" w:rsidRPr="00A83B39" w:rsidRDefault="00D87A97" w:rsidP="00D87A97">
      <w:pPr>
        <w:autoSpaceDE w:val="0"/>
        <w:autoSpaceDN w:val="0"/>
        <w:adjustRightInd w:val="0"/>
        <w:spacing w:before="280" w:after="140"/>
        <w:jc w:val="left"/>
        <w:rPr>
          <w:color w:val="000000"/>
          <w:sz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16"/>
        <w:gridCol w:w="1336"/>
      </w:tblGrid>
      <w:tr w:rsidR="00D87A97" w:rsidRPr="00A83B39" w:rsidTr="003F50D4">
        <w:trPr>
          <w:trHeight w:val="160"/>
          <w:jc w:val="center"/>
        </w:trPr>
        <w:tc>
          <w:tcPr>
            <w:tcW w:w="1080" w:type="dxa"/>
            <w:vAlign w:val="center"/>
          </w:tcPr>
          <w:p w:rsidR="00D87A97" w:rsidRPr="00A83B39" w:rsidRDefault="00D87A97" w:rsidP="003F50D4">
            <w:pPr>
              <w:pStyle w:val="SP217133"/>
              <w:spacing w:after="80"/>
              <w:jc w:val="center"/>
              <w:rPr>
                <w:rStyle w:val="SC3533"/>
                <w:sz w:val="24"/>
                <w:szCs w:val="24"/>
              </w:rPr>
            </w:pPr>
            <w:r w:rsidRPr="00A83B39">
              <w:rPr>
                <w:rStyle w:val="SC3533"/>
                <w:sz w:val="24"/>
                <w:szCs w:val="24"/>
              </w:rPr>
              <w:t>Période</w:t>
            </w:r>
          </w:p>
        </w:tc>
        <w:tc>
          <w:tcPr>
            <w:tcW w:w="1216" w:type="dxa"/>
            <w:vAlign w:val="center"/>
          </w:tcPr>
          <w:p w:rsidR="00D87A97" w:rsidRPr="00A83B39" w:rsidRDefault="00D87A97" w:rsidP="003F50D4">
            <w:pPr>
              <w:pStyle w:val="SP217133"/>
              <w:spacing w:after="80"/>
              <w:jc w:val="center"/>
              <w:rPr>
                <w:rStyle w:val="SC3533"/>
                <w:sz w:val="24"/>
                <w:szCs w:val="24"/>
              </w:rPr>
            </w:pPr>
            <w:r w:rsidRPr="00A83B39">
              <w:rPr>
                <w:rStyle w:val="SC3533"/>
                <w:sz w:val="24"/>
                <w:szCs w:val="24"/>
              </w:rPr>
              <w:t>moyenne</w:t>
            </w:r>
          </w:p>
        </w:tc>
        <w:tc>
          <w:tcPr>
            <w:tcW w:w="1336" w:type="dxa"/>
            <w:vAlign w:val="center"/>
          </w:tcPr>
          <w:p w:rsidR="00D87A97" w:rsidRPr="00A83B39" w:rsidRDefault="00D87A97" w:rsidP="003F50D4">
            <w:pPr>
              <w:pStyle w:val="SP217133"/>
              <w:spacing w:after="80"/>
              <w:jc w:val="center"/>
              <w:rPr>
                <w:rStyle w:val="SC3533"/>
                <w:sz w:val="24"/>
                <w:szCs w:val="24"/>
              </w:rPr>
            </w:pPr>
            <w:r w:rsidRPr="00A83B39">
              <w:rPr>
                <w:rStyle w:val="SC3533"/>
                <w:sz w:val="24"/>
                <w:szCs w:val="24"/>
              </w:rPr>
              <w:t>Écart-type</w:t>
            </w:r>
          </w:p>
        </w:tc>
      </w:tr>
      <w:tr w:rsidR="00D87A97" w:rsidRPr="00A83B39" w:rsidTr="003F50D4">
        <w:trPr>
          <w:trHeight w:val="160"/>
          <w:jc w:val="center"/>
        </w:trPr>
        <w:tc>
          <w:tcPr>
            <w:tcW w:w="1080" w:type="dxa"/>
            <w:vAlign w:val="center"/>
          </w:tcPr>
          <w:p w:rsidR="00D87A97" w:rsidRPr="00A83B39" w:rsidRDefault="00D87A97" w:rsidP="003F50D4">
            <w:pPr>
              <w:pStyle w:val="SP217133"/>
              <w:spacing w:after="80"/>
              <w:jc w:val="center"/>
              <w:rPr>
                <w:color w:val="000000"/>
              </w:rPr>
            </w:pPr>
            <w:r w:rsidRPr="00A83B39">
              <w:rPr>
                <w:rStyle w:val="SC3533"/>
                <w:sz w:val="24"/>
                <w:szCs w:val="24"/>
              </w:rPr>
              <w:t>1996</w:t>
            </w:r>
          </w:p>
        </w:tc>
        <w:tc>
          <w:tcPr>
            <w:tcW w:w="1216" w:type="dxa"/>
            <w:vAlign w:val="center"/>
          </w:tcPr>
          <w:p w:rsidR="00D87A97" w:rsidRPr="00A83B39" w:rsidRDefault="00D87A97" w:rsidP="003F50D4">
            <w:pPr>
              <w:pStyle w:val="SP217133"/>
              <w:spacing w:after="80"/>
              <w:jc w:val="center"/>
              <w:rPr>
                <w:color w:val="000000"/>
              </w:rPr>
            </w:pPr>
            <w:r w:rsidRPr="00A83B39">
              <w:rPr>
                <w:rStyle w:val="SC3533"/>
                <w:sz w:val="24"/>
                <w:szCs w:val="24"/>
              </w:rPr>
              <w:t>2562.8</w:t>
            </w:r>
          </w:p>
        </w:tc>
        <w:tc>
          <w:tcPr>
            <w:tcW w:w="1336" w:type="dxa"/>
            <w:vAlign w:val="center"/>
          </w:tcPr>
          <w:p w:rsidR="00D87A97" w:rsidRPr="00A83B39" w:rsidRDefault="00D87A97" w:rsidP="003F50D4">
            <w:pPr>
              <w:pStyle w:val="SP217133"/>
              <w:spacing w:after="80"/>
              <w:jc w:val="center"/>
              <w:rPr>
                <w:color w:val="000000"/>
              </w:rPr>
            </w:pPr>
            <w:r w:rsidRPr="00A83B39">
              <w:rPr>
                <w:rStyle w:val="SC3533"/>
                <w:sz w:val="24"/>
                <w:szCs w:val="24"/>
              </w:rPr>
              <w:t>850.7</w:t>
            </w:r>
          </w:p>
        </w:tc>
      </w:tr>
      <w:tr w:rsidR="00D87A97" w:rsidRPr="00A83B39" w:rsidTr="003F50D4">
        <w:trPr>
          <w:trHeight w:val="160"/>
          <w:jc w:val="center"/>
        </w:trPr>
        <w:tc>
          <w:tcPr>
            <w:tcW w:w="1080" w:type="dxa"/>
            <w:vAlign w:val="center"/>
          </w:tcPr>
          <w:p w:rsidR="00D87A97" w:rsidRPr="00A83B39" w:rsidRDefault="00D87A97" w:rsidP="003F50D4">
            <w:pPr>
              <w:pStyle w:val="SP217133"/>
              <w:spacing w:after="80"/>
              <w:jc w:val="center"/>
              <w:rPr>
                <w:color w:val="000000"/>
              </w:rPr>
            </w:pPr>
            <w:r w:rsidRPr="00A83B39">
              <w:rPr>
                <w:rStyle w:val="SC3533"/>
                <w:sz w:val="24"/>
                <w:szCs w:val="24"/>
              </w:rPr>
              <w:t>1997</w:t>
            </w:r>
          </w:p>
        </w:tc>
        <w:tc>
          <w:tcPr>
            <w:tcW w:w="1216" w:type="dxa"/>
            <w:vAlign w:val="center"/>
          </w:tcPr>
          <w:p w:rsidR="00D87A97" w:rsidRPr="00A83B39" w:rsidRDefault="00D87A97" w:rsidP="003F50D4">
            <w:pPr>
              <w:pStyle w:val="SP217133"/>
              <w:spacing w:after="80"/>
              <w:jc w:val="center"/>
              <w:rPr>
                <w:color w:val="000000"/>
              </w:rPr>
            </w:pPr>
            <w:r w:rsidRPr="00A83B39">
              <w:rPr>
                <w:rStyle w:val="SC3533"/>
                <w:sz w:val="24"/>
                <w:szCs w:val="24"/>
              </w:rPr>
              <w:t>2650.3</w:t>
            </w:r>
          </w:p>
        </w:tc>
        <w:tc>
          <w:tcPr>
            <w:tcW w:w="1336" w:type="dxa"/>
            <w:vAlign w:val="center"/>
          </w:tcPr>
          <w:p w:rsidR="00D87A97" w:rsidRPr="00A83B39" w:rsidRDefault="00D87A97" w:rsidP="003F50D4">
            <w:pPr>
              <w:pStyle w:val="SP217133"/>
              <w:spacing w:after="80"/>
              <w:jc w:val="center"/>
              <w:rPr>
                <w:color w:val="000000"/>
              </w:rPr>
            </w:pPr>
            <w:r w:rsidRPr="00A83B39">
              <w:rPr>
                <w:rStyle w:val="SC3533"/>
                <w:sz w:val="24"/>
                <w:szCs w:val="24"/>
              </w:rPr>
              <w:t>782.3</w:t>
            </w:r>
          </w:p>
        </w:tc>
      </w:tr>
      <w:tr w:rsidR="00D87A97" w:rsidRPr="00A83B39" w:rsidTr="003F50D4">
        <w:trPr>
          <w:trHeight w:val="160"/>
          <w:jc w:val="center"/>
        </w:trPr>
        <w:tc>
          <w:tcPr>
            <w:tcW w:w="1080" w:type="dxa"/>
            <w:vAlign w:val="center"/>
          </w:tcPr>
          <w:p w:rsidR="00D87A97" w:rsidRPr="00A83B39" w:rsidRDefault="00D87A97" w:rsidP="003F50D4">
            <w:pPr>
              <w:pStyle w:val="SP217133"/>
              <w:spacing w:after="80"/>
              <w:jc w:val="center"/>
              <w:rPr>
                <w:color w:val="000000"/>
              </w:rPr>
            </w:pPr>
            <w:r w:rsidRPr="00A83B39">
              <w:rPr>
                <w:rStyle w:val="SC3533"/>
                <w:sz w:val="24"/>
                <w:szCs w:val="24"/>
              </w:rPr>
              <w:lastRenderedPageBreak/>
              <w:t>1998</w:t>
            </w:r>
          </w:p>
        </w:tc>
        <w:tc>
          <w:tcPr>
            <w:tcW w:w="1216" w:type="dxa"/>
            <w:vAlign w:val="center"/>
          </w:tcPr>
          <w:p w:rsidR="00D87A97" w:rsidRPr="00A83B39" w:rsidRDefault="00D87A97" w:rsidP="003F50D4">
            <w:pPr>
              <w:pStyle w:val="SP217133"/>
              <w:spacing w:after="80"/>
              <w:jc w:val="center"/>
              <w:rPr>
                <w:color w:val="000000"/>
              </w:rPr>
            </w:pPr>
            <w:r w:rsidRPr="00A83B39">
              <w:rPr>
                <w:rStyle w:val="SC3533"/>
                <w:sz w:val="24"/>
                <w:szCs w:val="24"/>
              </w:rPr>
              <w:t>3029.4</w:t>
            </w:r>
          </w:p>
        </w:tc>
        <w:tc>
          <w:tcPr>
            <w:tcW w:w="1336" w:type="dxa"/>
            <w:vAlign w:val="center"/>
          </w:tcPr>
          <w:p w:rsidR="00D87A97" w:rsidRPr="00A83B39" w:rsidRDefault="00D87A97" w:rsidP="003F50D4">
            <w:pPr>
              <w:pStyle w:val="SP217133"/>
              <w:spacing w:after="80"/>
              <w:jc w:val="center"/>
              <w:rPr>
                <w:color w:val="000000"/>
              </w:rPr>
            </w:pPr>
            <w:r w:rsidRPr="00A83B39">
              <w:rPr>
                <w:rStyle w:val="SC3533"/>
                <w:sz w:val="24"/>
                <w:szCs w:val="24"/>
              </w:rPr>
              <w:t>803.6</w:t>
            </w:r>
          </w:p>
        </w:tc>
      </w:tr>
      <w:tr w:rsidR="00D87A97" w:rsidRPr="00A83B39" w:rsidTr="003F50D4">
        <w:trPr>
          <w:trHeight w:val="160"/>
          <w:jc w:val="center"/>
        </w:trPr>
        <w:tc>
          <w:tcPr>
            <w:tcW w:w="1080" w:type="dxa"/>
            <w:vAlign w:val="center"/>
          </w:tcPr>
          <w:p w:rsidR="00D87A97" w:rsidRPr="00A83B39" w:rsidRDefault="00D87A97" w:rsidP="003F50D4">
            <w:pPr>
              <w:pStyle w:val="SP217133"/>
              <w:spacing w:after="80"/>
              <w:jc w:val="center"/>
              <w:rPr>
                <w:color w:val="000000"/>
              </w:rPr>
            </w:pPr>
            <w:r w:rsidRPr="00A83B39">
              <w:rPr>
                <w:rStyle w:val="SC3533"/>
                <w:sz w:val="24"/>
                <w:szCs w:val="24"/>
              </w:rPr>
              <w:t>1999</w:t>
            </w:r>
          </w:p>
        </w:tc>
        <w:tc>
          <w:tcPr>
            <w:tcW w:w="1216" w:type="dxa"/>
            <w:vAlign w:val="center"/>
          </w:tcPr>
          <w:p w:rsidR="00D87A97" w:rsidRPr="00A83B39" w:rsidRDefault="00D87A97" w:rsidP="003F50D4">
            <w:pPr>
              <w:pStyle w:val="SP217133"/>
              <w:spacing w:after="80"/>
              <w:jc w:val="center"/>
              <w:rPr>
                <w:color w:val="000000"/>
              </w:rPr>
            </w:pPr>
            <w:r w:rsidRPr="00A83B39">
              <w:rPr>
                <w:rStyle w:val="SC3533"/>
                <w:sz w:val="24"/>
                <w:szCs w:val="24"/>
              </w:rPr>
              <w:t>3415.8</w:t>
            </w:r>
          </w:p>
        </w:tc>
        <w:tc>
          <w:tcPr>
            <w:tcW w:w="1336" w:type="dxa"/>
            <w:vAlign w:val="center"/>
          </w:tcPr>
          <w:p w:rsidR="00D87A97" w:rsidRPr="00A83B39" w:rsidRDefault="00D87A97" w:rsidP="003F50D4">
            <w:pPr>
              <w:pStyle w:val="SP217133"/>
              <w:spacing w:after="80"/>
              <w:jc w:val="center"/>
              <w:rPr>
                <w:color w:val="000000"/>
              </w:rPr>
            </w:pPr>
            <w:r w:rsidRPr="00A83B39">
              <w:rPr>
                <w:rStyle w:val="SC3533"/>
                <w:sz w:val="24"/>
                <w:szCs w:val="24"/>
              </w:rPr>
              <w:t>946.6</w:t>
            </w:r>
          </w:p>
        </w:tc>
      </w:tr>
      <w:tr w:rsidR="00D87A97" w:rsidRPr="00A83B39" w:rsidTr="003F50D4">
        <w:trPr>
          <w:trHeight w:val="160"/>
          <w:jc w:val="center"/>
        </w:trPr>
        <w:tc>
          <w:tcPr>
            <w:tcW w:w="1080" w:type="dxa"/>
            <w:vAlign w:val="center"/>
          </w:tcPr>
          <w:p w:rsidR="00D87A97" w:rsidRPr="00A83B39" w:rsidRDefault="00D87A97" w:rsidP="003F50D4">
            <w:pPr>
              <w:pStyle w:val="SP217133"/>
              <w:spacing w:after="80"/>
              <w:jc w:val="center"/>
              <w:rPr>
                <w:color w:val="000000"/>
              </w:rPr>
            </w:pPr>
            <w:r w:rsidRPr="00A83B39">
              <w:rPr>
                <w:rStyle w:val="SC3533"/>
                <w:sz w:val="24"/>
                <w:szCs w:val="24"/>
              </w:rPr>
              <w:t>2000</w:t>
            </w:r>
          </w:p>
        </w:tc>
        <w:tc>
          <w:tcPr>
            <w:tcW w:w="1216" w:type="dxa"/>
            <w:vAlign w:val="center"/>
          </w:tcPr>
          <w:p w:rsidR="00D87A97" w:rsidRPr="00A83B39" w:rsidRDefault="00D87A97" w:rsidP="003F50D4">
            <w:pPr>
              <w:pStyle w:val="SP217133"/>
              <w:spacing w:after="80"/>
              <w:jc w:val="center"/>
              <w:rPr>
                <w:color w:val="000000"/>
              </w:rPr>
            </w:pPr>
            <w:r w:rsidRPr="00A83B39">
              <w:rPr>
                <w:rStyle w:val="SC3533"/>
                <w:sz w:val="24"/>
                <w:szCs w:val="24"/>
              </w:rPr>
              <w:t>3525.3</w:t>
            </w:r>
          </w:p>
        </w:tc>
        <w:tc>
          <w:tcPr>
            <w:tcW w:w="1336" w:type="dxa"/>
            <w:vAlign w:val="center"/>
          </w:tcPr>
          <w:p w:rsidR="00D87A97" w:rsidRPr="00A83B39" w:rsidRDefault="00D87A97" w:rsidP="003F50D4">
            <w:pPr>
              <w:pStyle w:val="SP217133"/>
              <w:spacing w:after="80"/>
              <w:jc w:val="center"/>
              <w:rPr>
                <w:color w:val="000000"/>
              </w:rPr>
            </w:pPr>
            <w:r w:rsidRPr="00A83B39">
              <w:rPr>
                <w:rStyle w:val="SC3533"/>
                <w:sz w:val="24"/>
                <w:szCs w:val="24"/>
              </w:rPr>
              <w:t>1023.4</w:t>
            </w:r>
          </w:p>
        </w:tc>
      </w:tr>
    </w:tbl>
    <w:p w:rsidR="00D87A97" w:rsidRPr="00A83B39" w:rsidRDefault="00D87A97" w:rsidP="00D87A97">
      <w:pPr>
        <w:autoSpaceDE w:val="0"/>
        <w:autoSpaceDN w:val="0"/>
        <w:adjustRightInd w:val="0"/>
        <w:spacing w:before="280" w:after="140"/>
        <w:jc w:val="left"/>
        <w:rPr>
          <w:color w:val="000000"/>
          <w:sz w:val="23"/>
          <w:szCs w:val="23"/>
        </w:rPr>
      </w:pPr>
    </w:p>
    <w:p w:rsidR="00D87A97" w:rsidRPr="00A83B39" w:rsidRDefault="00D87A97" w:rsidP="00D87A97">
      <w:pPr>
        <w:autoSpaceDE w:val="0"/>
        <w:autoSpaceDN w:val="0"/>
        <w:adjustRightInd w:val="0"/>
        <w:rPr>
          <w:color w:val="000000"/>
          <w:sz w:val="24"/>
          <w:szCs w:val="24"/>
        </w:rPr>
      </w:pPr>
      <w:r w:rsidRPr="00A83B39">
        <w:rPr>
          <w:color w:val="000000"/>
          <w:sz w:val="24"/>
          <w:szCs w:val="24"/>
        </w:rPr>
        <w:t xml:space="preserve">En calculant la droite des moindres carrés, on obtient </w:t>
      </w:r>
      <w:r w:rsidRPr="00A83B39">
        <w:rPr>
          <w:i/>
          <w:iCs/>
          <w:color w:val="000000"/>
          <w:sz w:val="24"/>
          <w:szCs w:val="24"/>
        </w:rPr>
        <w:t xml:space="preserve">a </w:t>
      </w:r>
      <w:r w:rsidRPr="00A83B39">
        <w:rPr>
          <w:color w:val="000000"/>
          <w:sz w:val="24"/>
          <w:szCs w:val="24"/>
        </w:rPr>
        <w:t xml:space="preserve">= 0.195 et </w:t>
      </w:r>
      <w:r w:rsidRPr="00A83B39">
        <w:rPr>
          <w:i/>
          <w:iCs/>
          <w:color w:val="000000"/>
          <w:sz w:val="24"/>
          <w:szCs w:val="24"/>
        </w:rPr>
        <w:t xml:space="preserve">b </w:t>
      </w:r>
      <w:r w:rsidRPr="00A83B39">
        <w:rPr>
          <w:color w:val="000000"/>
          <w:sz w:val="24"/>
          <w:szCs w:val="24"/>
        </w:rPr>
        <w:t>= 289.037, ce qui confirme encore une fois que pour cet exemple, nous sommes bien en présence d’un modèle multiplicatif.</w:t>
      </w:r>
    </w:p>
    <w:p w:rsidR="00D87A97" w:rsidRPr="00E87F18" w:rsidRDefault="00D87A97" w:rsidP="00D87A97">
      <w:pPr>
        <w:jc w:val="left"/>
        <w:rPr>
          <w:color w:val="000000"/>
          <w:sz w:val="23"/>
        </w:rPr>
      </w:pPr>
    </w:p>
    <w:p w:rsidR="00D87A97" w:rsidRPr="00A83B39" w:rsidRDefault="00D87A97" w:rsidP="00D87A97">
      <w:pPr>
        <w:jc w:val="center"/>
        <w:outlineLvl w:val="0"/>
      </w:pPr>
    </w:p>
    <w:p w:rsidR="00D87A97" w:rsidRDefault="00D87A97" w:rsidP="00D87A97">
      <w:pPr>
        <w:jc w:val="left"/>
      </w:pPr>
    </w:p>
    <w:p w:rsidR="00D87A97" w:rsidRPr="00A83B39" w:rsidRDefault="00D87A97">
      <w:pPr>
        <w:jc w:val="left"/>
        <w:rPr>
          <w:rFonts w:ascii="TimesNewRoman" w:hAnsi="TimesNewRoman" w:cs="TimesNewRoman"/>
          <w:sz w:val="24"/>
          <w:szCs w:val="24"/>
        </w:rPr>
      </w:pPr>
    </w:p>
    <w:sectPr w:rsidR="00D87A97" w:rsidRPr="00A83B39" w:rsidSect="00085E19">
      <w:pgSz w:w="11906" w:h="16838"/>
      <w:pgMar w:top="568" w:right="1417" w:bottom="568" w:left="1417" w:header="680" w:footer="720" w:gutter="0"/>
      <w:pgBorders w:offsetFrom="page">
        <w:top w:val="single" w:sz="18" w:space="24" w:color="0F243E"/>
        <w:left w:val="single" w:sz="18" w:space="24" w:color="0F243E"/>
        <w:bottom w:val="single" w:sz="18" w:space="24" w:color="0F243E"/>
        <w:right w:val="single" w:sz="18" w:space="24" w:color="0F243E"/>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17" w:rsidRDefault="00D70B17" w:rsidP="0092032E">
      <w:r>
        <w:separator/>
      </w:r>
    </w:p>
  </w:endnote>
  <w:endnote w:type="continuationSeparator" w:id="0">
    <w:p w:rsidR="00D70B17" w:rsidRDefault="00D70B17" w:rsidP="0092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17" w:rsidRDefault="00D70B17" w:rsidP="0092032E">
      <w:r>
        <w:separator/>
      </w:r>
    </w:p>
  </w:footnote>
  <w:footnote w:type="continuationSeparator" w:id="0">
    <w:p w:rsidR="00D70B17" w:rsidRDefault="00D70B17" w:rsidP="00920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205"/>
    <w:multiLevelType w:val="hybridMultilevel"/>
    <w:tmpl w:val="AD8C3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744040"/>
    <w:multiLevelType w:val="hybridMultilevel"/>
    <w:tmpl w:val="122EF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4056A9"/>
    <w:multiLevelType w:val="hybridMultilevel"/>
    <w:tmpl w:val="CEC62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2E7E30"/>
    <w:multiLevelType w:val="hybridMultilevel"/>
    <w:tmpl w:val="207C7F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5616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5D599D"/>
    <w:multiLevelType w:val="hybridMultilevel"/>
    <w:tmpl w:val="64104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591B85"/>
    <w:multiLevelType w:val="hybridMultilevel"/>
    <w:tmpl w:val="FBF69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D02FF0"/>
    <w:multiLevelType w:val="hybridMultilevel"/>
    <w:tmpl w:val="7B168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51C5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9">
    <w:nsid w:val="21AB67E3"/>
    <w:multiLevelType w:val="hybridMultilevel"/>
    <w:tmpl w:val="930A6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4A5F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713122"/>
    <w:multiLevelType w:val="singleLevel"/>
    <w:tmpl w:val="698CA868"/>
    <w:lvl w:ilvl="0">
      <w:start w:val="1"/>
      <w:numFmt w:val="decimal"/>
      <w:lvlText w:val="%1."/>
      <w:lvlJc w:val="left"/>
      <w:pPr>
        <w:tabs>
          <w:tab w:val="num" w:pos="360"/>
        </w:tabs>
        <w:ind w:left="360" w:hanging="360"/>
      </w:pPr>
    </w:lvl>
  </w:abstractNum>
  <w:abstractNum w:abstractNumId="12">
    <w:nsid w:val="2BA06502"/>
    <w:multiLevelType w:val="hybridMultilevel"/>
    <w:tmpl w:val="B502BF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8D127F"/>
    <w:multiLevelType w:val="hybridMultilevel"/>
    <w:tmpl w:val="87DA3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847B0F"/>
    <w:multiLevelType w:val="hybridMultilevel"/>
    <w:tmpl w:val="412A3906"/>
    <w:lvl w:ilvl="0" w:tplc="040C0001">
      <w:start w:val="1"/>
      <w:numFmt w:val="bullet"/>
      <w:lvlText w:val=""/>
      <w:lvlJc w:val="left"/>
      <w:pPr>
        <w:ind w:left="720" w:hanging="360"/>
      </w:pPr>
      <w:rPr>
        <w:rFonts w:ascii="Symbol" w:hAnsi="Symbol" w:hint="default"/>
      </w:rPr>
    </w:lvl>
    <w:lvl w:ilvl="1" w:tplc="F98C3690">
      <w:numFmt w:val="bullet"/>
      <w:lvlText w:val="•"/>
      <w:lvlJc w:val="left"/>
      <w:pPr>
        <w:ind w:left="1440" w:hanging="360"/>
      </w:pPr>
      <w:rPr>
        <w:rFonts w:ascii="SymbolMT" w:eastAsia="Times New Roman" w:hAnsi="SymbolMT" w:cs="SymbolMT"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77601"/>
    <w:multiLevelType w:val="hybridMultilevel"/>
    <w:tmpl w:val="C0EEF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B80F1D"/>
    <w:multiLevelType w:val="hybridMultilevel"/>
    <w:tmpl w:val="DD161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6B59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664F9D"/>
    <w:multiLevelType w:val="hybridMultilevel"/>
    <w:tmpl w:val="065C7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C63EEB"/>
    <w:multiLevelType w:val="hybridMultilevel"/>
    <w:tmpl w:val="03CE615E"/>
    <w:lvl w:ilvl="0" w:tplc="E768486C">
      <w:start w:val="1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D3724AB"/>
    <w:multiLevelType w:val="hybridMultilevel"/>
    <w:tmpl w:val="C166F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0E6037"/>
    <w:multiLevelType w:val="hybridMultilevel"/>
    <w:tmpl w:val="DE982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93797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E21D6F"/>
    <w:multiLevelType w:val="hybridMultilevel"/>
    <w:tmpl w:val="A4389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EE4A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0670A7"/>
    <w:multiLevelType w:val="hybridMultilevel"/>
    <w:tmpl w:val="11E4B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F87040"/>
    <w:multiLevelType w:val="hybridMultilevel"/>
    <w:tmpl w:val="39586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404F7C"/>
    <w:multiLevelType w:val="hybridMultilevel"/>
    <w:tmpl w:val="84F64D6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9C47634"/>
    <w:multiLevelType w:val="hybridMultilevel"/>
    <w:tmpl w:val="207C7F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283D54"/>
    <w:multiLevelType w:val="hybridMultilevel"/>
    <w:tmpl w:val="DB70E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AA1D8B"/>
    <w:multiLevelType w:val="hybridMultilevel"/>
    <w:tmpl w:val="07A0E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9024C7"/>
    <w:multiLevelType w:val="hybridMultilevel"/>
    <w:tmpl w:val="4F92EC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FBC74D5"/>
    <w:multiLevelType w:val="hybridMultilevel"/>
    <w:tmpl w:val="898AE736"/>
    <w:lvl w:ilvl="0" w:tplc="AF60821A">
      <w:start w:val="1"/>
      <w:numFmt w:val="bullet"/>
      <w:pStyle w:val="Acontrler"/>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791674F"/>
    <w:multiLevelType w:val="hybridMultilevel"/>
    <w:tmpl w:val="0E18F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D329E9"/>
    <w:multiLevelType w:val="multilevel"/>
    <w:tmpl w:val="CF3CDE36"/>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none"/>
      <w:pStyle w:val="Heading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5">
    <w:nsid w:val="6E1E50E5"/>
    <w:multiLevelType w:val="hybridMultilevel"/>
    <w:tmpl w:val="3CC608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601820"/>
    <w:multiLevelType w:val="hybridMultilevel"/>
    <w:tmpl w:val="8542A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E52F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624EC5"/>
    <w:multiLevelType w:val="hybridMultilevel"/>
    <w:tmpl w:val="5D920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950589"/>
    <w:multiLevelType w:val="singleLevel"/>
    <w:tmpl w:val="040C000F"/>
    <w:lvl w:ilvl="0">
      <w:start w:val="1"/>
      <w:numFmt w:val="decimal"/>
      <w:lvlText w:val="%1."/>
      <w:lvlJc w:val="left"/>
      <w:pPr>
        <w:tabs>
          <w:tab w:val="num" w:pos="360"/>
        </w:tabs>
        <w:ind w:left="360" w:hanging="360"/>
      </w:pPr>
    </w:lvl>
  </w:abstractNum>
  <w:abstractNum w:abstractNumId="40">
    <w:nsid w:val="7B024E07"/>
    <w:multiLevelType w:val="singleLevel"/>
    <w:tmpl w:val="5F584980"/>
    <w:lvl w:ilvl="0">
      <w:start w:val="2"/>
      <w:numFmt w:val="bullet"/>
      <w:lvlText w:val="-"/>
      <w:lvlJc w:val="left"/>
      <w:pPr>
        <w:tabs>
          <w:tab w:val="num" w:pos="2490"/>
        </w:tabs>
        <w:ind w:left="2490" w:hanging="360"/>
      </w:pPr>
    </w:lvl>
  </w:abstractNum>
  <w:abstractNum w:abstractNumId="41">
    <w:nsid w:val="7C8F47A2"/>
    <w:multiLevelType w:val="hybridMultilevel"/>
    <w:tmpl w:val="A2225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34"/>
  </w:num>
  <w:num w:numId="4">
    <w:abstractNumId w:val="34"/>
  </w:num>
  <w:num w:numId="5">
    <w:abstractNumId w:val="34"/>
  </w:num>
  <w:num w:numId="6">
    <w:abstractNumId w:val="22"/>
  </w:num>
  <w:num w:numId="7">
    <w:abstractNumId w:val="9"/>
  </w:num>
  <w:num w:numId="8">
    <w:abstractNumId w:val="10"/>
  </w:num>
  <w:num w:numId="9">
    <w:abstractNumId w:val="24"/>
  </w:num>
  <w:num w:numId="10">
    <w:abstractNumId w:val="27"/>
  </w:num>
  <w:num w:numId="11">
    <w:abstractNumId w:val="28"/>
  </w:num>
  <w:num w:numId="12">
    <w:abstractNumId w:val="4"/>
  </w:num>
  <w:num w:numId="13">
    <w:abstractNumId w:val="16"/>
  </w:num>
  <w:num w:numId="14">
    <w:abstractNumId w:val="6"/>
  </w:num>
  <w:num w:numId="15">
    <w:abstractNumId w:val="36"/>
  </w:num>
  <w:num w:numId="16">
    <w:abstractNumId w:val="7"/>
  </w:num>
  <w:num w:numId="17">
    <w:abstractNumId w:val="15"/>
  </w:num>
  <w:num w:numId="18">
    <w:abstractNumId w:val="1"/>
  </w:num>
  <w:num w:numId="19">
    <w:abstractNumId w:val="18"/>
  </w:num>
  <w:num w:numId="20">
    <w:abstractNumId w:val="29"/>
  </w:num>
  <w:num w:numId="21">
    <w:abstractNumId w:val="38"/>
  </w:num>
  <w:num w:numId="22">
    <w:abstractNumId w:val="13"/>
  </w:num>
  <w:num w:numId="23">
    <w:abstractNumId w:val="35"/>
  </w:num>
  <w:num w:numId="24">
    <w:abstractNumId w:val="33"/>
  </w:num>
  <w:num w:numId="25">
    <w:abstractNumId w:val="25"/>
  </w:num>
  <w:num w:numId="26">
    <w:abstractNumId w:val="23"/>
  </w:num>
  <w:num w:numId="27">
    <w:abstractNumId w:val="26"/>
  </w:num>
  <w:num w:numId="28">
    <w:abstractNumId w:val="30"/>
  </w:num>
  <w:num w:numId="29">
    <w:abstractNumId w:val="14"/>
  </w:num>
  <w:num w:numId="30">
    <w:abstractNumId w:val="0"/>
  </w:num>
  <w:num w:numId="31">
    <w:abstractNumId w:val="41"/>
  </w:num>
  <w:num w:numId="32">
    <w:abstractNumId w:val="21"/>
  </w:num>
  <w:num w:numId="33">
    <w:abstractNumId w:val="20"/>
  </w:num>
  <w:num w:numId="34">
    <w:abstractNumId w:val="5"/>
  </w:num>
  <w:num w:numId="35">
    <w:abstractNumId w:val="3"/>
  </w:num>
  <w:num w:numId="36">
    <w:abstractNumId w:val="37"/>
  </w:num>
  <w:num w:numId="37">
    <w:abstractNumId w:val="12"/>
  </w:num>
  <w:num w:numId="38">
    <w:abstractNumId w:val="17"/>
  </w:num>
  <w:num w:numId="39">
    <w:abstractNumId w:val="2"/>
  </w:num>
  <w:num w:numId="40">
    <w:abstractNumId w:val="11"/>
    <w:lvlOverride w:ilvl="0">
      <w:startOverride w:val="1"/>
    </w:lvlOverride>
  </w:num>
  <w:num w:numId="41">
    <w:abstractNumId w:val="39"/>
    <w:lvlOverride w:ilvl="0">
      <w:startOverride w:val="1"/>
    </w:lvlOverride>
  </w:num>
  <w:num w:numId="42">
    <w:abstractNumId w:val="40"/>
  </w:num>
  <w:num w:numId="43">
    <w:abstractNumId w:val="8"/>
  </w:num>
  <w:num w:numId="44">
    <w:abstractNumId w:val="32"/>
  </w:num>
  <w:num w:numId="45">
    <w:abstractNumId w:val="31"/>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7"/>
    <w:rsid w:val="000028E7"/>
    <w:rsid w:val="000067F2"/>
    <w:rsid w:val="0000708B"/>
    <w:rsid w:val="00007D97"/>
    <w:rsid w:val="00007F55"/>
    <w:rsid w:val="00013736"/>
    <w:rsid w:val="00017BD6"/>
    <w:rsid w:val="000206DE"/>
    <w:rsid w:val="000212B6"/>
    <w:rsid w:val="00025695"/>
    <w:rsid w:val="00026DD9"/>
    <w:rsid w:val="000421C9"/>
    <w:rsid w:val="0004651B"/>
    <w:rsid w:val="0005392C"/>
    <w:rsid w:val="00077C70"/>
    <w:rsid w:val="00083D0F"/>
    <w:rsid w:val="00085E19"/>
    <w:rsid w:val="00087B58"/>
    <w:rsid w:val="00091650"/>
    <w:rsid w:val="000B0226"/>
    <w:rsid w:val="000B2A58"/>
    <w:rsid w:val="000B3914"/>
    <w:rsid w:val="000C3928"/>
    <w:rsid w:val="000C4AFF"/>
    <w:rsid w:val="000D09E9"/>
    <w:rsid w:val="000E6317"/>
    <w:rsid w:val="000F513C"/>
    <w:rsid w:val="000F6172"/>
    <w:rsid w:val="00112659"/>
    <w:rsid w:val="0011539D"/>
    <w:rsid w:val="0012260B"/>
    <w:rsid w:val="00133B64"/>
    <w:rsid w:val="001407C9"/>
    <w:rsid w:val="001518AD"/>
    <w:rsid w:val="00154E62"/>
    <w:rsid w:val="0016735C"/>
    <w:rsid w:val="00171DAB"/>
    <w:rsid w:val="001723E8"/>
    <w:rsid w:val="00174E37"/>
    <w:rsid w:val="00177E6E"/>
    <w:rsid w:val="00184092"/>
    <w:rsid w:val="001A768F"/>
    <w:rsid w:val="001B3141"/>
    <w:rsid w:val="001B7BD1"/>
    <w:rsid w:val="001C2D9D"/>
    <w:rsid w:val="001C70BD"/>
    <w:rsid w:val="001F0D8F"/>
    <w:rsid w:val="002033E8"/>
    <w:rsid w:val="002072F6"/>
    <w:rsid w:val="002453C1"/>
    <w:rsid w:val="00252FC9"/>
    <w:rsid w:val="002565F0"/>
    <w:rsid w:val="0025737B"/>
    <w:rsid w:val="00273533"/>
    <w:rsid w:val="002801F7"/>
    <w:rsid w:val="0029248D"/>
    <w:rsid w:val="002A00E5"/>
    <w:rsid w:val="002A3ABD"/>
    <w:rsid w:val="002A3EC9"/>
    <w:rsid w:val="002B29C6"/>
    <w:rsid w:val="002B7715"/>
    <w:rsid w:val="002E1856"/>
    <w:rsid w:val="002F3778"/>
    <w:rsid w:val="00314537"/>
    <w:rsid w:val="003158BF"/>
    <w:rsid w:val="003168B8"/>
    <w:rsid w:val="003258BB"/>
    <w:rsid w:val="00327B36"/>
    <w:rsid w:val="00332559"/>
    <w:rsid w:val="003366A2"/>
    <w:rsid w:val="00341BD8"/>
    <w:rsid w:val="00343CA2"/>
    <w:rsid w:val="00346BAC"/>
    <w:rsid w:val="003541B2"/>
    <w:rsid w:val="003620D8"/>
    <w:rsid w:val="00373B33"/>
    <w:rsid w:val="00380610"/>
    <w:rsid w:val="0038447E"/>
    <w:rsid w:val="003A04FA"/>
    <w:rsid w:val="003A0927"/>
    <w:rsid w:val="003A36D3"/>
    <w:rsid w:val="003A65AA"/>
    <w:rsid w:val="003A6745"/>
    <w:rsid w:val="003B281E"/>
    <w:rsid w:val="003B4F32"/>
    <w:rsid w:val="003C00C3"/>
    <w:rsid w:val="003C39C7"/>
    <w:rsid w:val="003D093A"/>
    <w:rsid w:val="003E2254"/>
    <w:rsid w:val="003E6724"/>
    <w:rsid w:val="003E7535"/>
    <w:rsid w:val="003F076C"/>
    <w:rsid w:val="00400CAD"/>
    <w:rsid w:val="00401785"/>
    <w:rsid w:val="00404CDE"/>
    <w:rsid w:val="00411E89"/>
    <w:rsid w:val="0041733A"/>
    <w:rsid w:val="00443BCD"/>
    <w:rsid w:val="00456EF2"/>
    <w:rsid w:val="00457CE6"/>
    <w:rsid w:val="004844AB"/>
    <w:rsid w:val="004A0ECC"/>
    <w:rsid w:val="004A1CD5"/>
    <w:rsid w:val="004A383A"/>
    <w:rsid w:val="004B1489"/>
    <w:rsid w:val="004B3A2B"/>
    <w:rsid w:val="004B3FA5"/>
    <w:rsid w:val="004C0C2E"/>
    <w:rsid w:val="004F2B20"/>
    <w:rsid w:val="004F463A"/>
    <w:rsid w:val="00505454"/>
    <w:rsid w:val="005152DD"/>
    <w:rsid w:val="005438E2"/>
    <w:rsid w:val="00547990"/>
    <w:rsid w:val="00550FBE"/>
    <w:rsid w:val="00563052"/>
    <w:rsid w:val="00565DC3"/>
    <w:rsid w:val="00571369"/>
    <w:rsid w:val="00574842"/>
    <w:rsid w:val="00576909"/>
    <w:rsid w:val="005950BD"/>
    <w:rsid w:val="005950D3"/>
    <w:rsid w:val="00597C87"/>
    <w:rsid w:val="005A1CF2"/>
    <w:rsid w:val="005A7E41"/>
    <w:rsid w:val="005B128F"/>
    <w:rsid w:val="005B1959"/>
    <w:rsid w:val="005C192B"/>
    <w:rsid w:val="00600A46"/>
    <w:rsid w:val="00604E90"/>
    <w:rsid w:val="00606BD6"/>
    <w:rsid w:val="0061247F"/>
    <w:rsid w:val="006129B0"/>
    <w:rsid w:val="00631900"/>
    <w:rsid w:val="00632489"/>
    <w:rsid w:val="00637DF0"/>
    <w:rsid w:val="00640611"/>
    <w:rsid w:val="006424CD"/>
    <w:rsid w:val="00643799"/>
    <w:rsid w:val="00645487"/>
    <w:rsid w:val="00652E64"/>
    <w:rsid w:val="00661108"/>
    <w:rsid w:val="00661484"/>
    <w:rsid w:val="0067492E"/>
    <w:rsid w:val="00676259"/>
    <w:rsid w:val="00684611"/>
    <w:rsid w:val="0069573F"/>
    <w:rsid w:val="006A1EF1"/>
    <w:rsid w:val="006E14FE"/>
    <w:rsid w:val="006E3CA8"/>
    <w:rsid w:val="006E4BAD"/>
    <w:rsid w:val="006F152C"/>
    <w:rsid w:val="00701355"/>
    <w:rsid w:val="007177F1"/>
    <w:rsid w:val="00721649"/>
    <w:rsid w:val="0072621A"/>
    <w:rsid w:val="00734AA7"/>
    <w:rsid w:val="00737AD3"/>
    <w:rsid w:val="00741AA0"/>
    <w:rsid w:val="00745725"/>
    <w:rsid w:val="00755EA4"/>
    <w:rsid w:val="007613C6"/>
    <w:rsid w:val="00771200"/>
    <w:rsid w:val="0078013E"/>
    <w:rsid w:val="00791882"/>
    <w:rsid w:val="007A15AF"/>
    <w:rsid w:val="007A6CB0"/>
    <w:rsid w:val="007B0135"/>
    <w:rsid w:val="007B1607"/>
    <w:rsid w:val="007C1035"/>
    <w:rsid w:val="007C2BC0"/>
    <w:rsid w:val="007C40A5"/>
    <w:rsid w:val="007C4653"/>
    <w:rsid w:val="007C65F7"/>
    <w:rsid w:val="007E0BC1"/>
    <w:rsid w:val="007F0496"/>
    <w:rsid w:val="007F4218"/>
    <w:rsid w:val="00800900"/>
    <w:rsid w:val="00800B50"/>
    <w:rsid w:val="00802051"/>
    <w:rsid w:val="00806FB8"/>
    <w:rsid w:val="0081367E"/>
    <w:rsid w:val="00813FC3"/>
    <w:rsid w:val="00821004"/>
    <w:rsid w:val="00822870"/>
    <w:rsid w:val="00824278"/>
    <w:rsid w:val="008255F9"/>
    <w:rsid w:val="008264DD"/>
    <w:rsid w:val="008267ED"/>
    <w:rsid w:val="00826E93"/>
    <w:rsid w:val="00834B06"/>
    <w:rsid w:val="00844EDE"/>
    <w:rsid w:val="00850B87"/>
    <w:rsid w:val="00852D93"/>
    <w:rsid w:val="00853B00"/>
    <w:rsid w:val="0086525E"/>
    <w:rsid w:val="00871107"/>
    <w:rsid w:val="00874CC5"/>
    <w:rsid w:val="008805DC"/>
    <w:rsid w:val="008821A9"/>
    <w:rsid w:val="008954FF"/>
    <w:rsid w:val="00896958"/>
    <w:rsid w:val="008A293D"/>
    <w:rsid w:val="008C3304"/>
    <w:rsid w:val="008D307D"/>
    <w:rsid w:val="008D4CD5"/>
    <w:rsid w:val="008E3458"/>
    <w:rsid w:val="008F1405"/>
    <w:rsid w:val="008F199F"/>
    <w:rsid w:val="008F3A09"/>
    <w:rsid w:val="00915FE6"/>
    <w:rsid w:val="0092032E"/>
    <w:rsid w:val="00922488"/>
    <w:rsid w:val="00922B37"/>
    <w:rsid w:val="00933A4A"/>
    <w:rsid w:val="00934607"/>
    <w:rsid w:val="00937C2B"/>
    <w:rsid w:val="00950475"/>
    <w:rsid w:val="00955ADE"/>
    <w:rsid w:val="009670B4"/>
    <w:rsid w:val="00970DD2"/>
    <w:rsid w:val="00976B25"/>
    <w:rsid w:val="009861B3"/>
    <w:rsid w:val="00987B06"/>
    <w:rsid w:val="009A6A5C"/>
    <w:rsid w:val="009A761A"/>
    <w:rsid w:val="009B375A"/>
    <w:rsid w:val="009C0C89"/>
    <w:rsid w:val="009E0D77"/>
    <w:rsid w:val="009E2286"/>
    <w:rsid w:val="009E7D35"/>
    <w:rsid w:val="009F7E8E"/>
    <w:rsid w:val="00A07BFC"/>
    <w:rsid w:val="00A07C70"/>
    <w:rsid w:val="00A15DA9"/>
    <w:rsid w:val="00A168FD"/>
    <w:rsid w:val="00A27885"/>
    <w:rsid w:val="00A31C01"/>
    <w:rsid w:val="00A345A4"/>
    <w:rsid w:val="00A37AA4"/>
    <w:rsid w:val="00A403B9"/>
    <w:rsid w:val="00A406C0"/>
    <w:rsid w:val="00A429C0"/>
    <w:rsid w:val="00A445D2"/>
    <w:rsid w:val="00A452E3"/>
    <w:rsid w:val="00A45888"/>
    <w:rsid w:val="00A46E4B"/>
    <w:rsid w:val="00A47C19"/>
    <w:rsid w:val="00A50483"/>
    <w:rsid w:val="00A541CC"/>
    <w:rsid w:val="00A55942"/>
    <w:rsid w:val="00A73FFD"/>
    <w:rsid w:val="00A74B28"/>
    <w:rsid w:val="00A777C1"/>
    <w:rsid w:val="00A77A88"/>
    <w:rsid w:val="00A83B39"/>
    <w:rsid w:val="00AB55A2"/>
    <w:rsid w:val="00AC3C1F"/>
    <w:rsid w:val="00AC3D7F"/>
    <w:rsid w:val="00AD26FC"/>
    <w:rsid w:val="00AE02BC"/>
    <w:rsid w:val="00AE6F9D"/>
    <w:rsid w:val="00B0423A"/>
    <w:rsid w:val="00B0515F"/>
    <w:rsid w:val="00B13495"/>
    <w:rsid w:val="00B2245B"/>
    <w:rsid w:val="00B267D9"/>
    <w:rsid w:val="00B30E5B"/>
    <w:rsid w:val="00B321C7"/>
    <w:rsid w:val="00B37E8C"/>
    <w:rsid w:val="00B46816"/>
    <w:rsid w:val="00B54314"/>
    <w:rsid w:val="00B62195"/>
    <w:rsid w:val="00B62B36"/>
    <w:rsid w:val="00B63997"/>
    <w:rsid w:val="00B63FC8"/>
    <w:rsid w:val="00B93ADD"/>
    <w:rsid w:val="00BB4E8F"/>
    <w:rsid w:val="00BB6D47"/>
    <w:rsid w:val="00BC232F"/>
    <w:rsid w:val="00BD6298"/>
    <w:rsid w:val="00BE3FDB"/>
    <w:rsid w:val="00BF39A6"/>
    <w:rsid w:val="00BF52F2"/>
    <w:rsid w:val="00C04A40"/>
    <w:rsid w:val="00C07248"/>
    <w:rsid w:val="00C10575"/>
    <w:rsid w:val="00C121B8"/>
    <w:rsid w:val="00C13B79"/>
    <w:rsid w:val="00C13C8D"/>
    <w:rsid w:val="00C201D3"/>
    <w:rsid w:val="00C25788"/>
    <w:rsid w:val="00C4042C"/>
    <w:rsid w:val="00C40652"/>
    <w:rsid w:val="00C544BA"/>
    <w:rsid w:val="00C56FAE"/>
    <w:rsid w:val="00C674AA"/>
    <w:rsid w:val="00C74127"/>
    <w:rsid w:val="00CA05C5"/>
    <w:rsid w:val="00CA35EC"/>
    <w:rsid w:val="00CB55A0"/>
    <w:rsid w:val="00CB683B"/>
    <w:rsid w:val="00CB6B67"/>
    <w:rsid w:val="00CC41EE"/>
    <w:rsid w:val="00CC51A6"/>
    <w:rsid w:val="00CD3FD6"/>
    <w:rsid w:val="00CD516A"/>
    <w:rsid w:val="00CD5F7E"/>
    <w:rsid w:val="00CE7A94"/>
    <w:rsid w:val="00CF4B1C"/>
    <w:rsid w:val="00D0080A"/>
    <w:rsid w:val="00D14185"/>
    <w:rsid w:val="00D1431E"/>
    <w:rsid w:val="00D3511A"/>
    <w:rsid w:val="00D43C87"/>
    <w:rsid w:val="00D54FD2"/>
    <w:rsid w:val="00D70B17"/>
    <w:rsid w:val="00D75495"/>
    <w:rsid w:val="00D87A97"/>
    <w:rsid w:val="00D9460D"/>
    <w:rsid w:val="00D952E2"/>
    <w:rsid w:val="00DA2292"/>
    <w:rsid w:val="00DB089A"/>
    <w:rsid w:val="00DB0959"/>
    <w:rsid w:val="00DB4547"/>
    <w:rsid w:val="00DC2012"/>
    <w:rsid w:val="00DC3FDD"/>
    <w:rsid w:val="00DC6CCD"/>
    <w:rsid w:val="00DD2F37"/>
    <w:rsid w:val="00DD4155"/>
    <w:rsid w:val="00E057B5"/>
    <w:rsid w:val="00E10CED"/>
    <w:rsid w:val="00E10D9C"/>
    <w:rsid w:val="00E261D6"/>
    <w:rsid w:val="00E40950"/>
    <w:rsid w:val="00E442A2"/>
    <w:rsid w:val="00E478FC"/>
    <w:rsid w:val="00E5321A"/>
    <w:rsid w:val="00E607D7"/>
    <w:rsid w:val="00E633C0"/>
    <w:rsid w:val="00E63BF8"/>
    <w:rsid w:val="00E760AA"/>
    <w:rsid w:val="00E763FE"/>
    <w:rsid w:val="00E8205E"/>
    <w:rsid w:val="00E86248"/>
    <w:rsid w:val="00E90DF7"/>
    <w:rsid w:val="00EA153D"/>
    <w:rsid w:val="00EA30A6"/>
    <w:rsid w:val="00EA7339"/>
    <w:rsid w:val="00EB0B30"/>
    <w:rsid w:val="00EB10E7"/>
    <w:rsid w:val="00EB3F5B"/>
    <w:rsid w:val="00EC2279"/>
    <w:rsid w:val="00EC2D29"/>
    <w:rsid w:val="00EC57A9"/>
    <w:rsid w:val="00EC766A"/>
    <w:rsid w:val="00ED08F7"/>
    <w:rsid w:val="00ED5661"/>
    <w:rsid w:val="00ED5EDB"/>
    <w:rsid w:val="00ED6FD0"/>
    <w:rsid w:val="00ED7CE4"/>
    <w:rsid w:val="00EE5EAA"/>
    <w:rsid w:val="00EE72DD"/>
    <w:rsid w:val="00EF34B7"/>
    <w:rsid w:val="00EF5F1B"/>
    <w:rsid w:val="00EF7F99"/>
    <w:rsid w:val="00F01EDD"/>
    <w:rsid w:val="00F1499F"/>
    <w:rsid w:val="00F16509"/>
    <w:rsid w:val="00F24AF2"/>
    <w:rsid w:val="00F332B1"/>
    <w:rsid w:val="00F352ED"/>
    <w:rsid w:val="00F362B1"/>
    <w:rsid w:val="00F53C2C"/>
    <w:rsid w:val="00F55291"/>
    <w:rsid w:val="00F75EBF"/>
    <w:rsid w:val="00F9388B"/>
    <w:rsid w:val="00FA3609"/>
    <w:rsid w:val="00FC3D4F"/>
    <w:rsid w:val="00FC517F"/>
    <w:rsid w:val="00FD67FA"/>
    <w:rsid w:val="00FE0F3B"/>
    <w:rsid w:val="00FE4560"/>
    <w:rsid w:val="00FE5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Heading1">
    <w:name w:val="heading 1"/>
    <w:basedOn w:val="Normal"/>
    <w:next w:val="Normal"/>
    <w:link w:val="Heading1Char"/>
    <w:uiPriority w:val="9"/>
    <w:qFormat/>
    <w:rsid w:val="0061247F"/>
    <w:pPr>
      <w:keepNext/>
      <w:numPr>
        <w:numId w:val="1"/>
      </w:numPr>
      <w:spacing w:before="480" w:after="240"/>
      <w:ind w:left="454" w:hanging="454"/>
      <w:jc w:val="left"/>
      <w:outlineLvl w:val="0"/>
    </w:pPr>
    <w:rPr>
      <w:rFonts w:ascii="Arial" w:hAnsi="Arial"/>
      <w:b/>
      <w:sz w:val="36"/>
    </w:rPr>
  </w:style>
  <w:style w:type="paragraph" w:styleId="Heading2">
    <w:name w:val="heading 2"/>
    <w:basedOn w:val="Heading1"/>
    <w:next w:val="Normal"/>
    <w:qFormat/>
    <w:rsid w:val="0061247F"/>
    <w:pPr>
      <w:numPr>
        <w:ilvl w:val="1"/>
        <w:numId w:val="2"/>
      </w:numPr>
      <w:spacing w:before="360" w:after="120"/>
      <w:ind w:left="624" w:hanging="624"/>
      <w:outlineLvl w:val="1"/>
    </w:pPr>
    <w:rPr>
      <w:b w:val="0"/>
      <w:sz w:val="32"/>
    </w:rPr>
  </w:style>
  <w:style w:type="paragraph" w:styleId="Heading3">
    <w:name w:val="heading 3"/>
    <w:basedOn w:val="Heading2"/>
    <w:next w:val="Normal"/>
    <w:link w:val="Heading3Char"/>
    <w:uiPriority w:val="9"/>
    <w:qFormat/>
    <w:rsid w:val="0061247F"/>
    <w:pPr>
      <w:numPr>
        <w:ilvl w:val="2"/>
        <w:numId w:val="3"/>
      </w:numPr>
      <w:ind w:left="680" w:hanging="680"/>
      <w:outlineLvl w:val="2"/>
    </w:pPr>
    <w:rPr>
      <w:b/>
      <w:sz w:val="24"/>
    </w:rPr>
  </w:style>
  <w:style w:type="paragraph" w:styleId="Heading4">
    <w:name w:val="heading 4"/>
    <w:basedOn w:val="Heading3"/>
    <w:next w:val="Normal"/>
    <w:qFormat/>
    <w:rsid w:val="0061247F"/>
    <w:pPr>
      <w:numPr>
        <w:ilvl w:val="3"/>
        <w:numId w:val="4"/>
      </w:numPr>
      <w:spacing w:before="240"/>
      <w:ind w:left="794" w:hanging="794"/>
      <w:outlineLvl w:val="3"/>
    </w:pPr>
    <w:rPr>
      <w:b w:val="0"/>
      <w:sz w:val="22"/>
    </w:rPr>
  </w:style>
  <w:style w:type="paragraph" w:styleId="Heading5">
    <w:name w:val="heading 5"/>
    <w:basedOn w:val="Heading4"/>
    <w:link w:val="Heading5Char"/>
    <w:uiPriority w:val="9"/>
    <w:qFormat/>
    <w:rsid w:val="0061247F"/>
    <w:pPr>
      <w:numPr>
        <w:ilvl w:val="4"/>
        <w:numId w:val="5"/>
      </w:numPr>
      <w:outlineLvl w:val="4"/>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0DF7"/>
    <w:rPr>
      <w:rFonts w:ascii="Arial" w:hAnsi="Arial"/>
      <w:b/>
      <w:sz w:val="36"/>
    </w:rPr>
  </w:style>
  <w:style w:type="character" w:customStyle="1" w:styleId="Heading3Char">
    <w:name w:val="Heading 3 Char"/>
    <w:link w:val="Heading3"/>
    <w:uiPriority w:val="9"/>
    <w:rsid w:val="008C3304"/>
    <w:rPr>
      <w:rFonts w:ascii="Arial" w:hAnsi="Arial"/>
      <w:b/>
      <w:sz w:val="24"/>
    </w:rPr>
  </w:style>
  <w:style w:type="character" w:customStyle="1" w:styleId="Heading5Char">
    <w:name w:val="Heading 5 Char"/>
    <w:link w:val="Heading5"/>
    <w:uiPriority w:val="9"/>
    <w:rsid w:val="008C3304"/>
    <w:rPr>
      <w:b/>
      <w:i/>
      <w:sz w:val="22"/>
    </w:rPr>
  </w:style>
  <w:style w:type="character" w:styleId="FootnoteReference">
    <w:name w:val="footnote reference"/>
    <w:semiHidden/>
    <w:rsid w:val="0061247F"/>
    <w:rPr>
      <w:rFonts w:ascii="Times New Roman" w:hAnsi="Times New Roman"/>
      <w:position w:val="6"/>
      <w:sz w:val="12"/>
      <w:bdr w:val="none" w:sz="0" w:space="0" w:color="auto"/>
    </w:rPr>
  </w:style>
  <w:style w:type="paragraph" w:styleId="Header">
    <w:name w:val="header"/>
    <w:basedOn w:val="Normal"/>
    <w:link w:val="HeaderChar"/>
    <w:uiPriority w:val="99"/>
    <w:rsid w:val="0061247F"/>
    <w:pPr>
      <w:pBdr>
        <w:bottom w:val="single" w:sz="6" w:space="2" w:color="auto"/>
      </w:pBdr>
      <w:tabs>
        <w:tab w:val="right" w:pos="8222"/>
      </w:tabs>
    </w:pPr>
    <w:rPr>
      <w:sz w:val="18"/>
    </w:rPr>
  </w:style>
  <w:style w:type="paragraph" w:styleId="FootnoteText">
    <w:name w:val="footnote text"/>
    <w:basedOn w:val="Normal"/>
    <w:semiHidden/>
    <w:rsid w:val="0061247F"/>
    <w:pPr>
      <w:spacing w:before="40" w:after="40"/>
      <w:ind w:left="170" w:right="851" w:hanging="170"/>
    </w:pPr>
    <w:rPr>
      <w:sz w:val="16"/>
    </w:rPr>
  </w:style>
  <w:style w:type="paragraph" w:styleId="Footer">
    <w:name w:val="footer"/>
    <w:basedOn w:val="Normal"/>
    <w:link w:val="FooterChar"/>
    <w:uiPriority w:val="99"/>
    <w:rsid w:val="0061247F"/>
    <w:pPr>
      <w:pBdr>
        <w:top w:val="single" w:sz="6" w:space="2" w:color="auto"/>
      </w:pBdr>
      <w:tabs>
        <w:tab w:val="right" w:pos="8222"/>
      </w:tabs>
    </w:pPr>
    <w:rPr>
      <w:rFonts w:ascii="Arial" w:hAnsi="Arial"/>
      <w:sz w:val="18"/>
    </w:rPr>
  </w:style>
  <w:style w:type="character" w:customStyle="1" w:styleId="FooterChar">
    <w:name w:val="Footer Char"/>
    <w:link w:val="Footer"/>
    <w:uiPriority w:val="99"/>
    <w:rsid w:val="00D1431E"/>
    <w:rPr>
      <w:rFonts w:ascii="Arial" w:hAnsi="Arial"/>
      <w:sz w:val="18"/>
    </w:rPr>
  </w:style>
  <w:style w:type="paragraph" w:styleId="TOC1">
    <w:name w:val="toc 1"/>
    <w:basedOn w:val="Normal"/>
    <w:next w:val="Normal"/>
    <w:autoRedefine/>
    <w:uiPriority w:val="39"/>
    <w:rsid w:val="0061247F"/>
    <w:pPr>
      <w:tabs>
        <w:tab w:val="right" w:leader="dot" w:pos="8222"/>
      </w:tabs>
      <w:spacing w:before="240" w:after="60"/>
      <w:ind w:left="680" w:right="851" w:hanging="340"/>
    </w:pPr>
    <w:rPr>
      <w:rFonts w:ascii="Arial" w:hAnsi="Arial"/>
      <w:b/>
      <w:caps/>
      <w:sz w:val="24"/>
    </w:rPr>
  </w:style>
  <w:style w:type="paragraph" w:styleId="TOC2">
    <w:name w:val="toc 2"/>
    <w:basedOn w:val="Normal"/>
    <w:next w:val="Normal"/>
    <w:autoRedefine/>
    <w:uiPriority w:val="39"/>
    <w:rsid w:val="0061247F"/>
    <w:pPr>
      <w:tabs>
        <w:tab w:val="right" w:leader="dot" w:pos="8222"/>
      </w:tabs>
      <w:spacing w:after="60"/>
      <w:ind w:left="1134" w:right="851" w:hanging="397"/>
      <w:jc w:val="left"/>
    </w:pPr>
    <w:rPr>
      <w:rFonts w:ascii="Arial" w:hAnsi="Arial"/>
      <w:caps/>
      <w:sz w:val="20"/>
    </w:rPr>
  </w:style>
  <w:style w:type="paragraph" w:styleId="TOC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OC4">
    <w:name w:val="toc 4"/>
    <w:basedOn w:val="Normal"/>
    <w:next w:val="Normal"/>
    <w:autoRedefine/>
    <w:uiPriority w:val="39"/>
    <w:rsid w:val="0061247F"/>
    <w:pPr>
      <w:tabs>
        <w:tab w:val="right" w:leader="dot" w:pos="8222"/>
      </w:tabs>
      <w:spacing w:after="60"/>
      <w:ind w:left="2552" w:right="851" w:hanging="624"/>
      <w:jc w:val="left"/>
    </w:pPr>
    <w:rPr>
      <w:sz w:val="20"/>
    </w:rPr>
  </w:style>
  <w:style w:type="paragraph" w:styleId="TOC5">
    <w:name w:val="toc 5"/>
    <w:basedOn w:val="Normal"/>
    <w:next w:val="Normal"/>
    <w:autoRedefine/>
    <w:uiPriority w:val="39"/>
    <w:rsid w:val="0061247F"/>
    <w:pPr>
      <w:tabs>
        <w:tab w:val="right" w:leader="dot" w:pos="8222"/>
      </w:tabs>
      <w:ind w:left="2381" w:right="851" w:hanging="113"/>
      <w:jc w:val="left"/>
    </w:pPr>
    <w:rPr>
      <w:sz w:val="20"/>
    </w:rPr>
  </w:style>
  <w:style w:type="paragraph" w:styleId="Caption">
    <w:name w:val="caption"/>
    <w:basedOn w:val="Normal"/>
    <w:next w:val="Normal"/>
    <w:qFormat/>
    <w:rsid w:val="0061247F"/>
    <w:rPr>
      <w:rFonts w:ascii="Arial" w:hAnsi="Arial"/>
      <w:b/>
      <w:sz w:val="20"/>
    </w:rPr>
  </w:style>
  <w:style w:type="paragraph" w:styleId="Title">
    <w:name w:val="Title"/>
    <w:basedOn w:val="Normal"/>
    <w:next w:val="Normal"/>
    <w:link w:val="TitleCh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rsid w:val="00C544BA"/>
    <w:rPr>
      <w:rFonts w:ascii="Arial" w:eastAsia="Times New Roman" w:hAnsi="Arial" w:cs="Times New Roman"/>
      <w:color w:val="17365D"/>
      <w:spacing w:val="5"/>
      <w:kern w:val="28"/>
      <w:sz w:val="52"/>
      <w:szCs w:val="52"/>
    </w:rPr>
  </w:style>
  <w:style w:type="character" w:styleId="Hyperlink">
    <w:name w:val="Hyperlink"/>
    <w:uiPriority w:val="99"/>
    <w:unhideWhenUsed/>
    <w:rsid w:val="00E90DF7"/>
    <w:rPr>
      <w:color w:val="0000FF"/>
      <w:u w:val="single"/>
    </w:rPr>
  </w:style>
  <w:style w:type="character" w:styleId="FollowedHyperlink">
    <w:name w:val="FollowedHyperlink"/>
    <w:rsid w:val="00E90DF7"/>
    <w:rPr>
      <w:color w:val="800080"/>
      <w:u w:val="single"/>
    </w:rPr>
  </w:style>
  <w:style w:type="character" w:customStyle="1" w:styleId="reference-text">
    <w:name w:val="reference-text"/>
    <w:basedOn w:val="DefaultParagraphFont"/>
    <w:rsid w:val="00E90DF7"/>
  </w:style>
  <w:style w:type="paragraph" w:styleId="NormalWeb">
    <w:name w:val="Normal (Web)"/>
    <w:basedOn w:val="Normal"/>
    <w:uiPriority w:val="99"/>
    <w:unhideWhenUsed/>
    <w:rsid w:val="00E90DF7"/>
    <w:pPr>
      <w:spacing w:before="100" w:beforeAutospacing="1" w:after="100" w:afterAutospacing="1"/>
      <w:jc w:val="left"/>
    </w:pPr>
    <w:rPr>
      <w:sz w:val="24"/>
      <w:szCs w:val="24"/>
    </w:rPr>
  </w:style>
  <w:style w:type="paragraph" w:styleId="ListParagraph">
    <w:name w:val="List Paragraph"/>
    <w:basedOn w:val="Normal"/>
    <w:uiPriority w:val="34"/>
    <w:qFormat/>
    <w:rsid w:val="008C3304"/>
    <w:pPr>
      <w:ind w:left="720"/>
      <w:contextualSpacing/>
    </w:pPr>
  </w:style>
  <w:style w:type="table" w:styleId="TableGrid">
    <w:name w:val="Table Grid"/>
    <w:basedOn w:val="TableNormal"/>
    <w:rsid w:val="00E76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3C1F"/>
    <w:rPr>
      <w:rFonts w:ascii="Tahoma" w:hAnsi="Tahoma" w:cs="Tahoma"/>
      <w:sz w:val="16"/>
      <w:szCs w:val="16"/>
    </w:rPr>
  </w:style>
  <w:style w:type="character" w:customStyle="1" w:styleId="BalloonTextChar">
    <w:name w:val="Balloon Text Char"/>
    <w:link w:val="BalloonText"/>
    <w:rsid w:val="00AC3C1F"/>
    <w:rPr>
      <w:rFonts w:ascii="Tahoma" w:hAnsi="Tahoma" w:cs="Tahoma"/>
      <w:sz w:val="16"/>
      <w:szCs w:val="16"/>
    </w:rPr>
  </w:style>
  <w:style w:type="character" w:styleId="PlaceholderText">
    <w:name w:val="Placeholder Text"/>
    <w:uiPriority w:val="99"/>
    <w:semiHidden/>
    <w:rsid w:val="00AC3C1F"/>
    <w:rPr>
      <w:color w:val="808080"/>
    </w:rPr>
  </w:style>
  <w:style w:type="paragraph" w:customStyle="1" w:styleId="Default">
    <w:name w:val="Default"/>
    <w:rsid w:val="00ED5EDB"/>
    <w:pPr>
      <w:autoSpaceDE w:val="0"/>
      <w:autoSpaceDN w:val="0"/>
      <w:adjustRightInd w:val="0"/>
    </w:pPr>
    <w:rPr>
      <w:rFonts w:ascii="Arial" w:hAnsi="Arial" w:cs="Arial"/>
      <w:color w:val="000000"/>
      <w:sz w:val="24"/>
      <w:szCs w:val="24"/>
    </w:rPr>
  </w:style>
  <w:style w:type="paragraph" w:customStyle="1" w:styleId="SP245780">
    <w:name w:val="SP245780"/>
    <w:basedOn w:val="Default"/>
    <w:next w:val="Default"/>
    <w:uiPriority w:val="99"/>
    <w:rsid w:val="00ED5EDB"/>
    <w:rPr>
      <w:color w:val="auto"/>
    </w:rPr>
  </w:style>
  <w:style w:type="character" w:customStyle="1" w:styleId="SC3539">
    <w:name w:val="SC3539"/>
    <w:uiPriority w:val="99"/>
    <w:rsid w:val="00ED5EDB"/>
    <w:rPr>
      <w:b/>
      <w:bCs/>
      <w:color w:val="000000"/>
      <w:sz w:val="18"/>
      <w:szCs w:val="18"/>
    </w:rPr>
  </w:style>
  <w:style w:type="character" w:customStyle="1" w:styleId="SC3526">
    <w:name w:val="SC3526"/>
    <w:uiPriority w:val="99"/>
    <w:rsid w:val="00ED5EDB"/>
    <w:rPr>
      <w:rFonts w:ascii="Times New Roman" w:hAnsi="Times New Roman" w:cs="Times New Roman"/>
      <w:color w:val="000000"/>
    </w:rPr>
  </w:style>
  <w:style w:type="paragraph" w:customStyle="1" w:styleId="SP245800">
    <w:name w:val="SP245800"/>
    <w:basedOn w:val="Default"/>
    <w:next w:val="Default"/>
    <w:uiPriority w:val="99"/>
    <w:rsid w:val="00ED5EDB"/>
    <w:rPr>
      <w:rFonts w:ascii="Times New Roman" w:hAnsi="Times New Roman" w:cs="Times New Roman"/>
      <w:color w:val="auto"/>
    </w:rPr>
  </w:style>
  <w:style w:type="character" w:customStyle="1" w:styleId="SC3521">
    <w:name w:val="SC3521"/>
    <w:uiPriority w:val="99"/>
    <w:rsid w:val="00ED5EDB"/>
    <w:rPr>
      <w:i/>
      <w:iCs/>
      <w:color w:val="000000"/>
      <w:sz w:val="32"/>
      <w:szCs w:val="32"/>
    </w:rPr>
  </w:style>
  <w:style w:type="character" w:customStyle="1" w:styleId="SC3543">
    <w:name w:val="SC3543"/>
    <w:uiPriority w:val="99"/>
    <w:rsid w:val="00ED5EDB"/>
    <w:rPr>
      <w:i/>
      <w:iCs/>
      <w:color w:val="000000"/>
      <w:sz w:val="12"/>
      <w:szCs w:val="12"/>
    </w:rPr>
  </w:style>
  <w:style w:type="paragraph" w:customStyle="1" w:styleId="SP245776">
    <w:name w:val="SP245776"/>
    <w:basedOn w:val="Default"/>
    <w:next w:val="Default"/>
    <w:uiPriority w:val="99"/>
    <w:rsid w:val="00ED5EDB"/>
    <w:rPr>
      <w:rFonts w:ascii="Times New Roman" w:hAnsi="Times New Roman" w:cs="Times New Roman"/>
      <w:color w:val="auto"/>
    </w:rPr>
  </w:style>
  <w:style w:type="paragraph" w:customStyle="1" w:styleId="SP245802">
    <w:name w:val="SP245802"/>
    <w:basedOn w:val="Default"/>
    <w:next w:val="Default"/>
    <w:uiPriority w:val="99"/>
    <w:rsid w:val="00EC766A"/>
    <w:rPr>
      <w:rFonts w:ascii="Times New Roman" w:hAnsi="Times New Roman" w:cs="Times New Roman"/>
      <w:color w:val="auto"/>
    </w:rPr>
  </w:style>
  <w:style w:type="paragraph" w:customStyle="1" w:styleId="SP217108">
    <w:name w:val="SP217108"/>
    <w:basedOn w:val="Default"/>
    <w:next w:val="Default"/>
    <w:uiPriority w:val="99"/>
    <w:rsid w:val="00CB683B"/>
    <w:rPr>
      <w:rFonts w:ascii="Times New Roman" w:hAnsi="Times New Roman" w:cs="Times New Roman"/>
      <w:color w:val="auto"/>
    </w:rPr>
  </w:style>
  <w:style w:type="paragraph" w:customStyle="1" w:styleId="SP217133">
    <w:name w:val="SP217133"/>
    <w:basedOn w:val="Default"/>
    <w:next w:val="Default"/>
    <w:uiPriority w:val="99"/>
    <w:rsid w:val="00F352ED"/>
    <w:rPr>
      <w:rFonts w:ascii="Times New Roman" w:hAnsi="Times New Roman" w:cs="Times New Roman"/>
      <w:color w:val="auto"/>
    </w:rPr>
  </w:style>
  <w:style w:type="character" w:customStyle="1" w:styleId="SC3533">
    <w:name w:val="SC3533"/>
    <w:uiPriority w:val="99"/>
    <w:rsid w:val="00F352ED"/>
    <w:rPr>
      <w:color w:val="000000"/>
      <w:sz w:val="20"/>
      <w:szCs w:val="20"/>
    </w:rPr>
  </w:style>
  <w:style w:type="paragraph" w:customStyle="1" w:styleId="SP217104">
    <w:name w:val="SP217104"/>
    <w:basedOn w:val="Default"/>
    <w:next w:val="Default"/>
    <w:uiPriority w:val="99"/>
    <w:rsid w:val="00EC2279"/>
    <w:rPr>
      <w:rFonts w:ascii="Times New Roman" w:hAnsi="Times New Roman" w:cs="Times New Roman"/>
      <w:color w:val="auto"/>
    </w:rPr>
  </w:style>
  <w:style w:type="paragraph" w:customStyle="1" w:styleId="SP217113">
    <w:name w:val="SP217113"/>
    <w:basedOn w:val="Default"/>
    <w:next w:val="Default"/>
    <w:uiPriority w:val="99"/>
    <w:rsid w:val="00EC2279"/>
    <w:rPr>
      <w:rFonts w:ascii="Times New Roman" w:hAnsi="Times New Roman" w:cs="Times New Roman"/>
      <w:color w:val="auto"/>
    </w:rPr>
  </w:style>
  <w:style w:type="character" w:customStyle="1" w:styleId="SC3516">
    <w:name w:val="SC3516"/>
    <w:uiPriority w:val="99"/>
    <w:rsid w:val="00EC2279"/>
    <w:rPr>
      <w:color w:val="000000"/>
    </w:rPr>
  </w:style>
  <w:style w:type="paragraph" w:customStyle="1" w:styleId="SP217128">
    <w:name w:val="SP217128"/>
    <w:basedOn w:val="Default"/>
    <w:next w:val="Default"/>
    <w:uiPriority w:val="99"/>
    <w:rsid w:val="00EC2279"/>
    <w:rPr>
      <w:rFonts w:ascii="Times New Roman" w:hAnsi="Times New Roman" w:cs="Times New Roman"/>
      <w:color w:val="auto"/>
    </w:rPr>
  </w:style>
  <w:style w:type="character" w:customStyle="1" w:styleId="SC3520">
    <w:name w:val="SC3520"/>
    <w:uiPriority w:val="99"/>
    <w:rsid w:val="00EC2279"/>
    <w:rPr>
      <w:b/>
      <w:bCs/>
      <w:color w:val="000000"/>
      <w:sz w:val="18"/>
      <w:szCs w:val="18"/>
    </w:rPr>
  </w:style>
  <w:style w:type="paragraph" w:customStyle="1" w:styleId="Acontrler">
    <w:name w:val="A contrôler"/>
    <w:basedOn w:val="Normal"/>
    <w:rsid w:val="00B63997"/>
    <w:pPr>
      <w:numPr>
        <w:numId w:val="44"/>
      </w:numPr>
    </w:pPr>
    <w:rPr>
      <w:rFonts w:ascii="Arial" w:hAnsi="Arial"/>
      <w:sz w:val="20"/>
    </w:rPr>
  </w:style>
  <w:style w:type="paragraph" w:styleId="TOC6">
    <w:name w:val="toc 6"/>
    <w:basedOn w:val="Normal"/>
    <w:next w:val="Normal"/>
    <w:autoRedefine/>
    <w:uiPriority w:val="39"/>
    <w:unhideWhenUsed/>
    <w:rsid w:val="00565DC3"/>
    <w:pPr>
      <w:spacing w:after="100" w:line="276" w:lineRule="auto"/>
      <w:ind w:left="1100"/>
      <w:jc w:val="left"/>
    </w:pPr>
    <w:rPr>
      <w:rFonts w:ascii="Calibri" w:hAnsi="Calibri"/>
      <w:szCs w:val="22"/>
    </w:rPr>
  </w:style>
  <w:style w:type="paragraph" w:styleId="TOC7">
    <w:name w:val="toc 7"/>
    <w:basedOn w:val="Normal"/>
    <w:next w:val="Normal"/>
    <w:autoRedefine/>
    <w:uiPriority w:val="39"/>
    <w:unhideWhenUsed/>
    <w:rsid w:val="00565DC3"/>
    <w:pPr>
      <w:spacing w:after="100" w:line="276" w:lineRule="auto"/>
      <w:ind w:left="1320"/>
      <w:jc w:val="left"/>
    </w:pPr>
    <w:rPr>
      <w:rFonts w:ascii="Calibri" w:hAnsi="Calibri"/>
      <w:szCs w:val="22"/>
    </w:rPr>
  </w:style>
  <w:style w:type="paragraph" w:styleId="TOC8">
    <w:name w:val="toc 8"/>
    <w:basedOn w:val="Normal"/>
    <w:next w:val="Normal"/>
    <w:autoRedefine/>
    <w:uiPriority w:val="39"/>
    <w:unhideWhenUsed/>
    <w:rsid w:val="00565DC3"/>
    <w:pPr>
      <w:spacing w:after="100" w:line="276" w:lineRule="auto"/>
      <w:ind w:left="1540"/>
      <w:jc w:val="left"/>
    </w:pPr>
    <w:rPr>
      <w:rFonts w:ascii="Calibri" w:hAnsi="Calibri"/>
      <w:szCs w:val="22"/>
    </w:rPr>
  </w:style>
  <w:style w:type="paragraph" w:styleId="TOC9">
    <w:name w:val="toc 9"/>
    <w:basedOn w:val="Normal"/>
    <w:next w:val="Normal"/>
    <w:autoRedefine/>
    <w:uiPriority w:val="39"/>
    <w:unhideWhenUsed/>
    <w:rsid w:val="00565DC3"/>
    <w:pPr>
      <w:spacing w:after="100" w:line="276" w:lineRule="auto"/>
      <w:ind w:left="1760"/>
      <w:jc w:val="left"/>
    </w:pPr>
    <w:rPr>
      <w:rFonts w:ascii="Calibri" w:hAnsi="Calibri"/>
      <w:szCs w:val="22"/>
    </w:rPr>
  </w:style>
  <w:style w:type="character" w:customStyle="1" w:styleId="HeaderChar">
    <w:name w:val="Header Char"/>
    <w:link w:val="Header"/>
    <w:uiPriority w:val="99"/>
    <w:rsid w:val="0078013E"/>
    <w:rPr>
      <w:sz w:val="18"/>
    </w:rPr>
  </w:style>
  <w:style w:type="character" w:styleId="PageNumber">
    <w:name w:val="page number"/>
    <w:uiPriority w:val="99"/>
    <w:unhideWhenUsed/>
    <w:rsid w:val="0078013E"/>
    <w:rPr>
      <w:rFonts w:eastAsia="Times New Roman" w:cs="Times New Roman"/>
      <w:bCs w:val="0"/>
      <w:iCs w:val="0"/>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Heading1">
    <w:name w:val="heading 1"/>
    <w:basedOn w:val="Normal"/>
    <w:next w:val="Normal"/>
    <w:link w:val="Heading1Char"/>
    <w:uiPriority w:val="9"/>
    <w:qFormat/>
    <w:rsid w:val="0061247F"/>
    <w:pPr>
      <w:keepNext/>
      <w:numPr>
        <w:numId w:val="1"/>
      </w:numPr>
      <w:spacing w:before="480" w:after="240"/>
      <w:ind w:left="454" w:hanging="454"/>
      <w:jc w:val="left"/>
      <w:outlineLvl w:val="0"/>
    </w:pPr>
    <w:rPr>
      <w:rFonts w:ascii="Arial" w:hAnsi="Arial"/>
      <w:b/>
      <w:sz w:val="36"/>
    </w:rPr>
  </w:style>
  <w:style w:type="paragraph" w:styleId="Heading2">
    <w:name w:val="heading 2"/>
    <w:basedOn w:val="Heading1"/>
    <w:next w:val="Normal"/>
    <w:qFormat/>
    <w:rsid w:val="0061247F"/>
    <w:pPr>
      <w:numPr>
        <w:ilvl w:val="1"/>
        <w:numId w:val="2"/>
      </w:numPr>
      <w:spacing w:before="360" w:after="120"/>
      <w:ind w:left="624" w:hanging="624"/>
      <w:outlineLvl w:val="1"/>
    </w:pPr>
    <w:rPr>
      <w:b w:val="0"/>
      <w:sz w:val="32"/>
    </w:rPr>
  </w:style>
  <w:style w:type="paragraph" w:styleId="Heading3">
    <w:name w:val="heading 3"/>
    <w:basedOn w:val="Heading2"/>
    <w:next w:val="Normal"/>
    <w:link w:val="Heading3Char"/>
    <w:uiPriority w:val="9"/>
    <w:qFormat/>
    <w:rsid w:val="0061247F"/>
    <w:pPr>
      <w:numPr>
        <w:ilvl w:val="2"/>
        <w:numId w:val="3"/>
      </w:numPr>
      <w:ind w:left="680" w:hanging="680"/>
      <w:outlineLvl w:val="2"/>
    </w:pPr>
    <w:rPr>
      <w:b/>
      <w:sz w:val="24"/>
    </w:rPr>
  </w:style>
  <w:style w:type="paragraph" w:styleId="Heading4">
    <w:name w:val="heading 4"/>
    <w:basedOn w:val="Heading3"/>
    <w:next w:val="Normal"/>
    <w:qFormat/>
    <w:rsid w:val="0061247F"/>
    <w:pPr>
      <w:numPr>
        <w:ilvl w:val="3"/>
        <w:numId w:val="4"/>
      </w:numPr>
      <w:spacing w:before="240"/>
      <w:ind w:left="794" w:hanging="794"/>
      <w:outlineLvl w:val="3"/>
    </w:pPr>
    <w:rPr>
      <w:b w:val="0"/>
      <w:sz w:val="22"/>
    </w:rPr>
  </w:style>
  <w:style w:type="paragraph" w:styleId="Heading5">
    <w:name w:val="heading 5"/>
    <w:basedOn w:val="Heading4"/>
    <w:link w:val="Heading5Char"/>
    <w:uiPriority w:val="9"/>
    <w:qFormat/>
    <w:rsid w:val="0061247F"/>
    <w:pPr>
      <w:numPr>
        <w:ilvl w:val="4"/>
        <w:numId w:val="5"/>
      </w:numPr>
      <w:outlineLvl w:val="4"/>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0DF7"/>
    <w:rPr>
      <w:rFonts w:ascii="Arial" w:hAnsi="Arial"/>
      <w:b/>
      <w:sz w:val="36"/>
    </w:rPr>
  </w:style>
  <w:style w:type="character" w:customStyle="1" w:styleId="Heading3Char">
    <w:name w:val="Heading 3 Char"/>
    <w:link w:val="Heading3"/>
    <w:uiPriority w:val="9"/>
    <w:rsid w:val="008C3304"/>
    <w:rPr>
      <w:rFonts w:ascii="Arial" w:hAnsi="Arial"/>
      <w:b/>
      <w:sz w:val="24"/>
    </w:rPr>
  </w:style>
  <w:style w:type="character" w:customStyle="1" w:styleId="Heading5Char">
    <w:name w:val="Heading 5 Char"/>
    <w:link w:val="Heading5"/>
    <w:uiPriority w:val="9"/>
    <w:rsid w:val="008C3304"/>
    <w:rPr>
      <w:b/>
      <w:i/>
      <w:sz w:val="22"/>
    </w:rPr>
  </w:style>
  <w:style w:type="character" w:styleId="FootnoteReference">
    <w:name w:val="footnote reference"/>
    <w:semiHidden/>
    <w:rsid w:val="0061247F"/>
    <w:rPr>
      <w:rFonts w:ascii="Times New Roman" w:hAnsi="Times New Roman"/>
      <w:position w:val="6"/>
      <w:sz w:val="12"/>
      <w:bdr w:val="none" w:sz="0" w:space="0" w:color="auto"/>
    </w:rPr>
  </w:style>
  <w:style w:type="paragraph" w:styleId="Header">
    <w:name w:val="header"/>
    <w:basedOn w:val="Normal"/>
    <w:link w:val="HeaderChar"/>
    <w:uiPriority w:val="99"/>
    <w:rsid w:val="0061247F"/>
    <w:pPr>
      <w:pBdr>
        <w:bottom w:val="single" w:sz="6" w:space="2" w:color="auto"/>
      </w:pBdr>
      <w:tabs>
        <w:tab w:val="right" w:pos="8222"/>
      </w:tabs>
    </w:pPr>
    <w:rPr>
      <w:sz w:val="18"/>
    </w:rPr>
  </w:style>
  <w:style w:type="paragraph" w:styleId="FootnoteText">
    <w:name w:val="footnote text"/>
    <w:basedOn w:val="Normal"/>
    <w:semiHidden/>
    <w:rsid w:val="0061247F"/>
    <w:pPr>
      <w:spacing w:before="40" w:after="40"/>
      <w:ind w:left="170" w:right="851" w:hanging="170"/>
    </w:pPr>
    <w:rPr>
      <w:sz w:val="16"/>
    </w:rPr>
  </w:style>
  <w:style w:type="paragraph" w:styleId="Footer">
    <w:name w:val="footer"/>
    <w:basedOn w:val="Normal"/>
    <w:link w:val="FooterChar"/>
    <w:uiPriority w:val="99"/>
    <w:rsid w:val="0061247F"/>
    <w:pPr>
      <w:pBdr>
        <w:top w:val="single" w:sz="6" w:space="2" w:color="auto"/>
      </w:pBdr>
      <w:tabs>
        <w:tab w:val="right" w:pos="8222"/>
      </w:tabs>
    </w:pPr>
    <w:rPr>
      <w:rFonts w:ascii="Arial" w:hAnsi="Arial"/>
      <w:sz w:val="18"/>
    </w:rPr>
  </w:style>
  <w:style w:type="character" w:customStyle="1" w:styleId="FooterChar">
    <w:name w:val="Footer Char"/>
    <w:link w:val="Footer"/>
    <w:uiPriority w:val="99"/>
    <w:rsid w:val="00D1431E"/>
    <w:rPr>
      <w:rFonts w:ascii="Arial" w:hAnsi="Arial"/>
      <w:sz w:val="18"/>
    </w:rPr>
  </w:style>
  <w:style w:type="paragraph" w:styleId="TOC1">
    <w:name w:val="toc 1"/>
    <w:basedOn w:val="Normal"/>
    <w:next w:val="Normal"/>
    <w:autoRedefine/>
    <w:uiPriority w:val="39"/>
    <w:rsid w:val="0061247F"/>
    <w:pPr>
      <w:tabs>
        <w:tab w:val="right" w:leader="dot" w:pos="8222"/>
      </w:tabs>
      <w:spacing w:before="240" w:after="60"/>
      <w:ind w:left="680" w:right="851" w:hanging="340"/>
    </w:pPr>
    <w:rPr>
      <w:rFonts w:ascii="Arial" w:hAnsi="Arial"/>
      <w:b/>
      <w:caps/>
      <w:sz w:val="24"/>
    </w:rPr>
  </w:style>
  <w:style w:type="paragraph" w:styleId="TOC2">
    <w:name w:val="toc 2"/>
    <w:basedOn w:val="Normal"/>
    <w:next w:val="Normal"/>
    <w:autoRedefine/>
    <w:uiPriority w:val="39"/>
    <w:rsid w:val="0061247F"/>
    <w:pPr>
      <w:tabs>
        <w:tab w:val="right" w:leader="dot" w:pos="8222"/>
      </w:tabs>
      <w:spacing w:after="60"/>
      <w:ind w:left="1134" w:right="851" w:hanging="397"/>
      <w:jc w:val="left"/>
    </w:pPr>
    <w:rPr>
      <w:rFonts w:ascii="Arial" w:hAnsi="Arial"/>
      <w:caps/>
      <w:sz w:val="20"/>
    </w:rPr>
  </w:style>
  <w:style w:type="paragraph" w:styleId="TOC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OC4">
    <w:name w:val="toc 4"/>
    <w:basedOn w:val="Normal"/>
    <w:next w:val="Normal"/>
    <w:autoRedefine/>
    <w:uiPriority w:val="39"/>
    <w:rsid w:val="0061247F"/>
    <w:pPr>
      <w:tabs>
        <w:tab w:val="right" w:leader="dot" w:pos="8222"/>
      </w:tabs>
      <w:spacing w:after="60"/>
      <w:ind w:left="2552" w:right="851" w:hanging="624"/>
      <w:jc w:val="left"/>
    </w:pPr>
    <w:rPr>
      <w:sz w:val="20"/>
    </w:rPr>
  </w:style>
  <w:style w:type="paragraph" w:styleId="TOC5">
    <w:name w:val="toc 5"/>
    <w:basedOn w:val="Normal"/>
    <w:next w:val="Normal"/>
    <w:autoRedefine/>
    <w:uiPriority w:val="39"/>
    <w:rsid w:val="0061247F"/>
    <w:pPr>
      <w:tabs>
        <w:tab w:val="right" w:leader="dot" w:pos="8222"/>
      </w:tabs>
      <w:ind w:left="2381" w:right="851" w:hanging="113"/>
      <w:jc w:val="left"/>
    </w:pPr>
    <w:rPr>
      <w:sz w:val="20"/>
    </w:rPr>
  </w:style>
  <w:style w:type="paragraph" w:styleId="Caption">
    <w:name w:val="caption"/>
    <w:basedOn w:val="Normal"/>
    <w:next w:val="Normal"/>
    <w:qFormat/>
    <w:rsid w:val="0061247F"/>
    <w:rPr>
      <w:rFonts w:ascii="Arial" w:hAnsi="Arial"/>
      <w:b/>
      <w:sz w:val="20"/>
    </w:rPr>
  </w:style>
  <w:style w:type="paragraph" w:styleId="Title">
    <w:name w:val="Title"/>
    <w:basedOn w:val="Normal"/>
    <w:next w:val="Normal"/>
    <w:link w:val="TitleCh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rsid w:val="00C544BA"/>
    <w:rPr>
      <w:rFonts w:ascii="Arial" w:eastAsia="Times New Roman" w:hAnsi="Arial" w:cs="Times New Roman"/>
      <w:color w:val="17365D"/>
      <w:spacing w:val="5"/>
      <w:kern w:val="28"/>
      <w:sz w:val="52"/>
      <w:szCs w:val="52"/>
    </w:rPr>
  </w:style>
  <w:style w:type="character" w:styleId="Hyperlink">
    <w:name w:val="Hyperlink"/>
    <w:uiPriority w:val="99"/>
    <w:unhideWhenUsed/>
    <w:rsid w:val="00E90DF7"/>
    <w:rPr>
      <w:color w:val="0000FF"/>
      <w:u w:val="single"/>
    </w:rPr>
  </w:style>
  <w:style w:type="character" w:styleId="FollowedHyperlink">
    <w:name w:val="FollowedHyperlink"/>
    <w:rsid w:val="00E90DF7"/>
    <w:rPr>
      <w:color w:val="800080"/>
      <w:u w:val="single"/>
    </w:rPr>
  </w:style>
  <w:style w:type="character" w:customStyle="1" w:styleId="reference-text">
    <w:name w:val="reference-text"/>
    <w:basedOn w:val="DefaultParagraphFont"/>
    <w:rsid w:val="00E90DF7"/>
  </w:style>
  <w:style w:type="paragraph" w:styleId="NormalWeb">
    <w:name w:val="Normal (Web)"/>
    <w:basedOn w:val="Normal"/>
    <w:uiPriority w:val="99"/>
    <w:unhideWhenUsed/>
    <w:rsid w:val="00E90DF7"/>
    <w:pPr>
      <w:spacing w:before="100" w:beforeAutospacing="1" w:after="100" w:afterAutospacing="1"/>
      <w:jc w:val="left"/>
    </w:pPr>
    <w:rPr>
      <w:sz w:val="24"/>
      <w:szCs w:val="24"/>
    </w:rPr>
  </w:style>
  <w:style w:type="paragraph" w:styleId="ListParagraph">
    <w:name w:val="List Paragraph"/>
    <w:basedOn w:val="Normal"/>
    <w:uiPriority w:val="34"/>
    <w:qFormat/>
    <w:rsid w:val="008C3304"/>
    <w:pPr>
      <w:ind w:left="720"/>
      <w:contextualSpacing/>
    </w:pPr>
  </w:style>
  <w:style w:type="table" w:styleId="TableGrid">
    <w:name w:val="Table Grid"/>
    <w:basedOn w:val="TableNormal"/>
    <w:rsid w:val="00E76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3C1F"/>
    <w:rPr>
      <w:rFonts w:ascii="Tahoma" w:hAnsi="Tahoma" w:cs="Tahoma"/>
      <w:sz w:val="16"/>
      <w:szCs w:val="16"/>
    </w:rPr>
  </w:style>
  <w:style w:type="character" w:customStyle="1" w:styleId="BalloonTextChar">
    <w:name w:val="Balloon Text Char"/>
    <w:link w:val="BalloonText"/>
    <w:rsid w:val="00AC3C1F"/>
    <w:rPr>
      <w:rFonts w:ascii="Tahoma" w:hAnsi="Tahoma" w:cs="Tahoma"/>
      <w:sz w:val="16"/>
      <w:szCs w:val="16"/>
    </w:rPr>
  </w:style>
  <w:style w:type="character" w:styleId="PlaceholderText">
    <w:name w:val="Placeholder Text"/>
    <w:uiPriority w:val="99"/>
    <w:semiHidden/>
    <w:rsid w:val="00AC3C1F"/>
    <w:rPr>
      <w:color w:val="808080"/>
    </w:rPr>
  </w:style>
  <w:style w:type="paragraph" w:customStyle="1" w:styleId="Default">
    <w:name w:val="Default"/>
    <w:rsid w:val="00ED5EDB"/>
    <w:pPr>
      <w:autoSpaceDE w:val="0"/>
      <w:autoSpaceDN w:val="0"/>
      <w:adjustRightInd w:val="0"/>
    </w:pPr>
    <w:rPr>
      <w:rFonts w:ascii="Arial" w:hAnsi="Arial" w:cs="Arial"/>
      <w:color w:val="000000"/>
      <w:sz w:val="24"/>
      <w:szCs w:val="24"/>
    </w:rPr>
  </w:style>
  <w:style w:type="paragraph" w:customStyle="1" w:styleId="SP245780">
    <w:name w:val="SP245780"/>
    <w:basedOn w:val="Default"/>
    <w:next w:val="Default"/>
    <w:uiPriority w:val="99"/>
    <w:rsid w:val="00ED5EDB"/>
    <w:rPr>
      <w:color w:val="auto"/>
    </w:rPr>
  </w:style>
  <w:style w:type="character" w:customStyle="1" w:styleId="SC3539">
    <w:name w:val="SC3539"/>
    <w:uiPriority w:val="99"/>
    <w:rsid w:val="00ED5EDB"/>
    <w:rPr>
      <w:b/>
      <w:bCs/>
      <w:color w:val="000000"/>
      <w:sz w:val="18"/>
      <w:szCs w:val="18"/>
    </w:rPr>
  </w:style>
  <w:style w:type="character" w:customStyle="1" w:styleId="SC3526">
    <w:name w:val="SC3526"/>
    <w:uiPriority w:val="99"/>
    <w:rsid w:val="00ED5EDB"/>
    <w:rPr>
      <w:rFonts w:ascii="Times New Roman" w:hAnsi="Times New Roman" w:cs="Times New Roman"/>
      <w:color w:val="000000"/>
    </w:rPr>
  </w:style>
  <w:style w:type="paragraph" w:customStyle="1" w:styleId="SP245800">
    <w:name w:val="SP245800"/>
    <w:basedOn w:val="Default"/>
    <w:next w:val="Default"/>
    <w:uiPriority w:val="99"/>
    <w:rsid w:val="00ED5EDB"/>
    <w:rPr>
      <w:rFonts w:ascii="Times New Roman" w:hAnsi="Times New Roman" w:cs="Times New Roman"/>
      <w:color w:val="auto"/>
    </w:rPr>
  </w:style>
  <w:style w:type="character" w:customStyle="1" w:styleId="SC3521">
    <w:name w:val="SC3521"/>
    <w:uiPriority w:val="99"/>
    <w:rsid w:val="00ED5EDB"/>
    <w:rPr>
      <w:i/>
      <w:iCs/>
      <w:color w:val="000000"/>
      <w:sz w:val="32"/>
      <w:szCs w:val="32"/>
    </w:rPr>
  </w:style>
  <w:style w:type="character" w:customStyle="1" w:styleId="SC3543">
    <w:name w:val="SC3543"/>
    <w:uiPriority w:val="99"/>
    <w:rsid w:val="00ED5EDB"/>
    <w:rPr>
      <w:i/>
      <w:iCs/>
      <w:color w:val="000000"/>
      <w:sz w:val="12"/>
      <w:szCs w:val="12"/>
    </w:rPr>
  </w:style>
  <w:style w:type="paragraph" w:customStyle="1" w:styleId="SP245776">
    <w:name w:val="SP245776"/>
    <w:basedOn w:val="Default"/>
    <w:next w:val="Default"/>
    <w:uiPriority w:val="99"/>
    <w:rsid w:val="00ED5EDB"/>
    <w:rPr>
      <w:rFonts w:ascii="Times New Roman" w:hAnsi="Times New Roman" w:cs="Times New Roman"/>
      <w:color w:val="auto"/>
    </w:rPr>
  </w:style>
  <w:style w:type="paragraph" w:customStyle="1" w:styleId="SP245802">
    <w:name w:val="SP245802"/>
    <w:basedOn w:val="Default"/>
    <w:next w:val="Default"/>
    <w:uiPriority w:val="99"/>
    <w:rsid w:val="00EC766A"/>
    <w:rPr>
      <w:rFonts w:ascii="Times New Roman" w:hAnsi="Times New Roman" w:cs="Times New Roman"/>
      <w:color w:val="auto"/>
    </w:rPr>
  </w:style>
  <w:style w:type="paragraph" w:customStyle="1" w:styleId="SP217108">
    <w:name w:val="SP217108"/>
    <w:basedOn w:val="Default"/>
    <w:next w:val="Default"/>
    <w:uiPriority w:val="99"/>
    <w:rsid w:val="00CB683B"/>
    <w:rPr>
      <w:rFonts w:ascii="Times New Roman" w:hAnsi="Times New Roman" w:cs="Times New Roman"/>
      <w:color w:val="auto"/>
    </w:rPr>
  </w:style>
  <w:style w:type="paragraph" w:customStyle="1" w:styleId="SP217133">
    <w:name w:val="SP217133"/>
    <w:basedOn w:val="Default"/>
    <w:next w:val="Default"/>
    <w:uiPriority w:val="99"/>
    <w:rsid w:val="00F352ED"/>
    <w:rPr>
      <w:rFonts w:ascii="Times New Roman" w:hAnsi="Times New Roman" w:cs="Times New Roman"/>
      <w:color w:val="auto"/>
    </w:rPr>
  </w:style>
  <w:style w:type="character" w:customStyle="1" w:styleId="SC3533">
    <w:name w:val="SC3533"/>
    <w:uiPriority w:val="99"/>
    <w:rsid w:val="00F352ED"/>
    <w:rPr>
      <w:color w:val="000000"/>
      <w:sz w:val="20"/>
      <w:szCs w:val="20"/>
    </w:rPr>
  </w:style>
  <w:style w:type="paragraph" w:customStyle="1" w:styleId="SP217104">
    <w:name w:val="SP217104"/>
    <w:basedOn w:val="Default"/>
    <w:next w:val="Default"/>
    <w:uiPriority w:val="99"/>
    <w:rsid w:val="00EC2279"/>
    <w:rPr>
      <w:rFonts w:ascii="Times New Roman" w:hAnsi="Times New Roman" w:cs="Times New Roman"/>
      <w:color w:val="auto"/>
    </w:rPr>
  </w:style>
  <w:style w:type="paragraph" w:customStyle="1" w:styleId="SP217113">
    <w:name w:val="SP217113"/>
    <w:basedOn w:val="Default"/>
    <w:next w:val="Default"/>
    <w:uiPriority w:val="99"/>
    <w:rsid w:val="00EC2279"/>
    <w:rPr>
      <w:rFonts w:ascii="Times New Roman" w:hAnsi="Times New Roman" w:cs="Times New Roman"/>
      <w:color w:val="auto"/>
    </w:rPr>
  </w:style>
  <w:style w:type="character" w:customStyle="1" w:styleId="SC3516">
    <w:name w:val="SC3516"/>
    <w:uiPriority w:val="99"/>
    <w:rsid w:val="00EC2279"/>
    <w:rPr>
      <w:color w:val="000000"/>
    </w:rPr>
  </w:style>
  <w:style w:type="paragraph" w:customStyle="1" w:styleId="SP217128">
    <w:name w:val="SP217128"/>
    <w:basedOn w:val="Default"/>
    <w:next w:val="Default"/>
    <w:uiPriority w:val="99"/>
    <w:rsid w:val="00EC2279"/>
    <w:rPr>
      <w:rFonts w:ascii="Times New Roman" w:hAnsi="Times New Roman" w:cs="Times New Roman"/>
      <w:color w:val="auto"/>
    </w:rPr>
  </w:style>
  <w:style w:type="character" w:customStyle="1" w:styleId="SC3520">
    <w:name w:val="SC3520"/>
    <w:uiPriority w:val="99"/>
    <w:rsid w:val="00EC2279"/>
    <w:rPr>
      <w:b/>
      <w:bCs/>
      <w:color w:val="000000"/>
      <w:sz w:val="18"/>
      <w:szCs w:val="18"/>
    </w:rPr>
  </w:style>
  <w:style w:type="paragraph" w:customStyle="1" w:styleId="Acontrler">
    <w:name w:val="A contrôler"/>
    <w:basedOn w:val="Normal"/>
    <w:rsid w:val="00B63997"/>
    <w:pPr>
      <w:numPr>
        <w:numId w:val="44"/>
      </w:numPr>
    </w:pPr>
    <w:rPr>
      <w:rFonts w:ascii="Arial" w:hAnsi="Arial"/>
      <w:sz w:val="20"/>
    </w:rPr>
  </w:style>
  <w:style w:type="paragraph" w:styleId="TOC6">
    <w:name w:val="toc 6"/>
    <w:basedOn w:val="Normal"/>
    <w:next w:val="Normal"/>
    <w:autoRedefine/>
    <w:uiPriority w:val="39"/>
    <w:unhideWhenUsed/>
    <w:rsid w:val="00565DC3"/>
    <w:pPr>
      <w:spacing w:after="100" w:line="276" w:lineRule="auto"/>
      <w:ind w:left="1100"/>
      <w:jc w:val="left"/>
    </w:pPr>
    <w:rPr>
      <w:rFonts w:ascii="Calibri" w:hAnsi="Calibri"/>
      <w:szCs w:val="22"/>
    </w:rPr>
  </w:style>
  <w:style w:type="paragraph" w:styleId="TOC7">
    <w:name w:val="toc 7"/>
    <w:basedOn w:val="Normal"/>
    <w:next w:val="Normal"/>
    <w:autoRedefine/>
    <w:uiPriority w:val="39"/>
    <w:unhideWhenUsed/>
    <w:rsid w:val="00565DC3"/>
    <w:pPr>
      <w:spacing w:after="100" w:line="276" w:lineRule="auto"/>
      <w:ind w:left="1320"/>
      <w:jc w:val="left"/>
    </w:pPr>
    <w:rPr>
      <w:rFonts w:ascii="Calibri" w:hAnsi="Calibri"/>
      <w:szCs w:val="22"/>
    </w:rPr>
  </w:style>
  <w:style w:type="paragraph" w:styleId="TOC8">
    <w:name w:val="toc 8"/>
    <w:basedOn w:val="Normal"/>
    <w:next w:val="Normal"/>
    <w:autoRedefine/>
    <w:uiPriority w:val="39"/>
    <w:unhideWhenUsed/>
    <w:rsid w:val="00565DC3"/>
    <w:pPr>
      <w:spacing w:after="100" w:line="276" w:lineRule="auto"/>
      <w:ind w:left="1540"/>
      <w:jc w:val="left"/>
    </w:pPr>
    <w:rPr>
      <w:rFonts w:ascii="Calibri" w:hAnsi="Calibri"/>
      <w:szCs w:val="22"/>
    </w:rPr>
  </w:style>
  <w:style w:type="paragraph" w:styleId="TOC9">
    <w:name w:val="toc 9"/>
    <w:basedOn w:val="Normal"/>
    <w:next w:val="Normal"/>
    <w:autoRedefine/>
    <w:uiPriority w:val="39"/>
    <w:unhideWhenUsed/>
    <w:rsid w:val="00565DC3"/>
    <w:pPr>
      <w:spacing w:after="100" w:line="276" w:lineRule="auto"/>
      <w:ind w:left="1760"/>
      <w:jc w:val="left"/>
    </w:pPr>
    <w:rPr>
      <w:rFonts w:ascii="Calibri" w:hAnsi="Calibri"/>
      <w:szCs w:val="22"/>
    </w:rPr>
  </w:style>
  <w:style w:type="character" w:customStyle="1" w:styleId="HeaderChar">
    <w:name w:val="Header Char"/>
    <w:link w:val="Header"/>
    <w:uiPriority w:val="99"/>
    <w:rsid w:val="0078013E"/>
    <w:rPr>
      <w:sz w:val="18"/>
    </w:rPr>
  </w:style>
  <w:style w:type="character" w:styleId="PageNumber">
    <w:name w:val="page number"/>
    <w:uiPriority w:val="99"/>
    <w:unhideWhenUsed/>
    <w:rsid w:val="0078013E"/>
    <w:rPr>
      <w:rFonts w:eastAsia="Times New Roman" w:cs="Times New Roman"/>
      <w:bCs w:val="0"/>
      <w:iCs w:val="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7082">
      <w:bodyDiv w:val="1"/>
      <w:marLeft w:val="0"/>
      <w:marRight w:val="0"/>
      <w:marTop w:val="0"/>
      <w:marBottom w:val="0"/>
      <w:divBdr>
        <w:top w:val="none" w:sz="0" w:space="0" w:color="auto"/>
        <w:left w:val="none" w:sz="0" w:space="0" w:color="auto"/>
        <w:bottom w:val="none" w:sz="0" w:space="0" w:color="auto"/>
        <w:right w:val="none" w:sz="0" w:space="0" w:color="auto"/>
      </w:divBdr>
    </w:div>
    <w:div w:id="272982803">
      <w:bodyDiv w:val="1"/>
      <w:marLeft w:val="0"/>
      <w:marRight w:val="0"/>
      <w:marTop w:val="0"/>
      <w:marBottom w:val="0"/>
      <w:divBdr>
        <w:top w:val="none" w:sz="0" w:space="0" w:color="auto"/>
        <w:left w:val="none" w:sz="0" w:space="0" w:color="auto"/>
        <w:bottom w:val="none" w:sz="0" w:space="0" w:color="auto"/>
        <w:right w:val="none" w:sz="0" w:space="0" w:color="auto"/>
      </w:divBdr>
    </w:div>
    <w:div w:id="492644605">
      <w:bodyDiv w:val="1"/>
      <w:marLeft w:val="0"/>
      <w:marRight w:val="0"/>
      <w:marTop w:val="0"/>
      <w:marBottom w:val="0"/>
      <w:divBdr>
        <w:top w:val="none" w:sz="0" w:space="0" w:color="auto"/>
        <w:left w:val="none" w:sz="0" w:space="0" w:color="auto"/>
        <w:bottom w:val="none" w:sz="0" w:space="0" w:color="auto"/>
        <w:right w:val="none" w:sz="0" w:space="0" w:color="auto"/>
      </w:divBdr>
    </w:div>
    <w:div w:id="560944824">
      <w:bodyDiv w:val="1"/>
      <w:marLeft w:val="0"/>
      <w:marRight w:val="0"/>
      <w:marTop w:val="0"/>
      <w:marBottom w:val="0"/>
      <w:divBdr>
        <w:top w:val="none" w:sz="0" w:space="0" w:color="auto"/>
        <w:left w:val="none" w:sz="0" w:space="0" w:color="auto"/>
        <w:bottom w:val="none" w:sz="0" w:space="0" w:color="auto"/>
        <w:right w:val="none" w:sz="0" w:space="0" w:color="auto"/>
      </w:divBdr>
    </w:div>
    <w:div w:id="647129727">
      <w:bodyDiv w:val="1"/>
      <w:marLeft w:val="0"/>
      <w:marRight w:val="0"/>
      <w:marTop w:val="0"/>
      <w:marBottom w:val="0"/>
      <w:divBdr>
        <w:top w:val="none" w:sz="0" w:space="0" w:color="auto"/>
        <w:left w:val="none" w:sz="0" w:space="0" w:color="auto"/>
        <w:bottom w:val="none" w:sz="0" w:space="0" w:color="auto"/>
        <w:right w:val="none" w:sz="0" w:space="0" w:color="auto"/>
      </w:divBdr>
    </w:div>
    <w:div w:id="762844801">
      <w:bodyDiv w:val="1"/>
      <w:marLeft w:val="0"/>
      <w:marRight w:val="0"/>
      <w:marTop w:val="0"/>
      <w:marBottom w:val="0"/>
      <w:divBdr>
        <w:top w:val="none" w:sz="0" w:space="0" w:color="auto"/>
        <w:left w:val="none" w:sz="0" w:space="0" w:color="auto"/>
        <w:bottom w:val="none" w:sz="0" w:space="0" w:color="auto"/>
        <w:right w:val="none" w:sz="0" w:space="0" w:color="auto"/>
      </w:divBdr>
    </w:div>
    <w:div w:id="857548183">
      <w:bodyDiv w:val="1"/>
      <w:marLeft w:val="0"/>
      <w:marRight w:val="0"/>
      <w:marTop w:val="0"/>
      <w:marBottom w:val="0"/>
      <w:divBdr>
        <w:top w:val="none" w:sz="0" w:space="0" w:color="auto"/>
        <w:left w:val="none" w:sz="0" w:space="0" w:color="auto"/>
        <w:bottom w:val="none" w:sz="0" w:space="0" w:color="auto"/>
        <w:right w:val="none" w:sz="0" w:space="0" w:color="auto"/>
      </w:divBdr>
    </w:div>
    <w:div w:id="1180780123">
      <w:bodyDiv w:val="1"/>
      <w:marLeft w:val="0"/>
      <w:marRight w:val="0"/>
      <w:marTop w:val="0"/>
      <w:marBottom w:val="0"/>
      <w:divBdr>
        <w:top w:val="none" w:sz="0" w:space="0" w:color="auto"/>
        <w:left w:val="none" w:sz="0" w:space="0" w:color="auto"/>
        <w:bottom w:val="none" w:sz="0" w:space="0" w:color="auto"/>
        <w:right w:val="none" w:sz="0" w:space="0" w:color="auto"/>
      </w:divBdr>
    </w:div>
    <w:div w:id="1494294937">
      <w:bodyDiv w:val="1"/>
      <w:marLeft w:val="0"/>
      <w:marRight w:val="0"/>
      <w:marTop w:val="0"/>
      <w:marBottom w:val="0"/>
      <w:divBdr>
        <w:top w:val="none" w:sz="0" w:space="0" w:color="auto"/>
        <w:left w:val="none" w:sz="0" w:space="0" w:color="auto"/>
        <w:bottom w:val="none" w:sz="0" w:space="0" w:color="auto"/>
        <w:right w:val="none" w:sz="0" w:space="0" w:color="auto"/>
      </w:divBdr>
    </w:div>
    <w:div w:id="1504935580">
      <w:bodyDiv w:val="1"/>
      <w:marLeft w:val="0"/>
      <w:marRight w:val="0"/>
      <w:marTop w:val="0"/>
      <w:marBottom w:val="0"/>
      <w:divBdr>
        <w:top w:val="none" w:sz="0" w:space="0" w:color="auto"/>
        <w:left w:val="none" w:sz="0" w:space="0" w:color="auto"/>
        <w:bottom w:val="none" w:sz="0" w:space="0" w:color="auto"/>
        <w:right w:val="none" w:sz="0" w:space="0" w:color="auto"/>
      </w:divBdr>
    </w:div>
    <w:div w:id="1505826664">
      <w:bodyDiv w:val="1"/>
      <w:marLeft w:val="0"/>
      <w:marRight w:val="0"/>
      <w:marTop w:val="0"/>
      <w:marBottom w:val="0"/>
      <w:divBdr>
        <w:top w:val="none" w:sz="0" w:space="0" w:color="auto"/>
        <w:left w:val="none" w:sz="0" w:space="0" w:color="auto"/>
        <w:bottom w:val="none" w:sz="0" w:space="0" w:color="auto"/>
        <w:right w:val="none" w:sz="0" w:space="0" w:color="auto"/>
      </w:divBdr>
    </w:div>
    <w:div w:id="1696730455">
      <w:bodyDiv w:val="1"/>
      <w:marLeft w:val="0"/>
      <w:marRight w:val="0"/>
      <w:marTop w:val="0"/>
      <w:marBottom w:val="0"/>
      <w:divBdr>
        <w:top w:val="none" w:sz="0" w:space="0" w:color="auto"/>
        <w:left w:val="none" w:sz="0" w:space="0" w:color="auto"/>
        <w:bottom w:val="none" w:sz="0" w:space="0" w:color="auto"/>
        <w:right w:val="none" w:sz="0" w:space="0" w:color="auto"/>
      </w:divBdr>
    </w:div>
    <w:div w:id="1932426091">
      <w:bodyDiv w:val="1"/>
      <w:marLeft w:val="0"/>
      <w:marRight w:val="0"/>
      <w:marTop w:val="0"/>
      <w:marBottom w:val="0"/>
      <w:divBdr>
        <w:top w:val="none" w:sz="0" w:space="0" w:color="auto"/>
        <w:left w:val="none" w:sz="0" w:space="0" w:color="auto"/>
        <w:bottom w:val="none" w:sz="0" w:space="0" w:color="auto"/>
        <w:right w:val="none" w:sz="0" w:space="0" w:color="auto"/>
      </w:divBdr>
      <w:divsChild>
        <w:div w:id="1703243169">
          <w:marLeft w:val="0"/>
          <w:marRight w:val="0"/>
          <w:marTop w:val="0"/>
          <w:marBottom w:val="0"/>
          <w:divBdr>
            <w:top w:val="none" w:sz="0" w:space="0" w:color="auto"/>
            <w:left w:val="none" w:sz="0" w:space="0" w:color="auto"/>
            <w:bottom w:val="none" w:sz="0" w:space="0" w:color="auto"/>
            <w:right w:val="none" w:sz="0" w:space="0" w:color="auto"/>
          </w:divBdr>
        </w:div>
      </w:divsChild>
    </w:div>
    <w:div w:id="1943947796">
      <w:bodyDiv w:val="1"/>
      <w:marLeft w:val="0"/>
      <w:marRight w:val="0"/>
      <w:marTop w:val="0"/>
      <w:marBottom w:val="0"/>
      <w:divBdr>
        <w:top w:val="none" w:sz="0" w:space="0" w:color="auto"/>
        <w:left w:val="none" w:sz="0" w:space="0" w:color="auto"/>
        <w:bottom w:val="none" w:sz="0" w:space="0" w:color="auto"/>
        <w:right w:val="none" w:sz="0" w:space="0" w:color="auto"/>
      </w:divBdr>
    </w:div>
    <w:div w:id="20082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zhare\Documents\Divers\CDG\CDG%202\Cours%20n&#176;4\nombre%20de%20victimes%20route%20luxembour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zhare\Documents\Divers\CDG\CDG%202\Cours%20n&#176;4\nombre%20de%20victimes%20route%20luxembourg.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azhare\Documents\Divers\CDG\CDG%202\Cours%20n&#176;4\nombre%20de%20victimes%20route%20luxembour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title>
      <c:overlay val="1"/>
    </c:title>
    <c:autoTitleDeleted val="0"/>
    <c:plotArea>
      <c:layout/>
      <c:scatterChart>
        <c:scatterStyle val="lineMarker"/>
        <c:varyColors val="1"/>
        <c:ser>
          <c:idx val="0"/>
          <c:order val="0"/>
          <c:tx>
            <c:strRef>
              <c:f>Feuil1!$H$2</c:f>
              <c:strCache>
                <c:ptCount val="1"/>
                <c:pt idx="0">
                  <c:v>Nombre de victimes</c:v>
                </c:pt>
              </c:strCache>
            </c:strRef>
          </c:tx>
          <c:marker>
            <c:symbol val="plus"/>
            <c:size val="7"/>
            <c:spPr>
              <a:ln>
                <a:solidFill>
                  <a:srgbClr val="FF0000"/>
                </a:solidFill>
              </a:ln>
            </c:spPr>
          </c:marker>
          <c:xVal>
            <c:numRef>
              <c:f>Feuil1!$G$3:$G$25</c:f>
              <c:numCache>
                <c:formatCode>General</c:formatCode>
                <c:ptCount val="23"/>
                <c:pt idx="0">
                  <c:v>1970</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numCache>
            </c:numRef>
          </c:xVal>
          <c:yVal>
            <c:numRef>
              <c:f>Feuil1!$H$3:$H$25</c:f>
              <c:numCache>
                <c:formatCode>General</c:formatCode>
                <c:ptCount val="23"/>
                <c:pt idx="0">
                  <c:v>2497</c:v>
                </c:pt>
                <c:pt idx="1">
                  <c:v>2380</c:v>
                </c:pt>
                <c:pt idx="2">
                  <c:v>2239</c:v>
                </c:pt>
                <c:pt idx="3">
                  <c:v>2034</c:v>
                </c:pt>
                <c:pt idx="4">
                  <c:v>2193</c:v>
                </c:pt>
                <c:pt idx="5">
                  <c:v>2185</c:v>
                </c:pt>
                <c:pt idx="6">
                  <c:v>2075</c:v>
                </c:pt>
                <c:pt idx="7">
                  <c:v>2062</c:v>
                </c:pt>
                <c:pt idx="8">
                  <c:v>1749</c:v>
                </c:pt>
                <c:pt idx="9">
                  <c:v>1946</c:v>
                </c:pt>
                <c:pt idx="10">
                  <c:v>1914</c:v>
                </c:pt>
                <c:pt idx="11">
                  <c:v>1846</c:v>
                </c:pt>
                <c:pt idx="12">
                  <c:v>1725</c:v>
                </c:pt>
                <c:pt idx="13">
                  <c:v>1725</c:v>
                </c:pt>
                <c:pt idx="14">
                  <c:v>1720</c:v>
                </c:pt>
                <c:pt idx="15">
                  <c:v>1616</c:v>
                </c:pt>
                <c:pt idx="16">
                  <c:v>1730</c:v>
                </c:pt>
                <c:pt idx="17">
                  <c:v>1609</c:v>
                </c:pt>
                <c:pt idx="18">
                  <c:v>1559</c:v>
                </c:pt>
                <c:pt idx="19">
                  <c:v>1575</c:v>
                </c:pt>
                <c:pt idx="20">
                  <c:v>1588</c:v>
                </c:pt>
                <c:pt idx="21">
                  <c:v>1331</c:v>
                </c:pt>
                <c:pt idx="22">
                  <c:v>1246</c:v>
                </c:pt>
              </c:numCache>
            </c:numRef>
          </c:yVal>
          <c:smooth val="1"/>
        </c:ser>
        <c:dLbls>
          <c:showLegendKey val="0"/>
          <c:showVal val="0"/>
          <c:showCatName val="0"/>
          <c:showSerName val="0"/>
          <c:showPercent val="0"/>
          <c:showBubbleSize val="0"/>
        </c:dLbls>
        <c:axId val="228754560"/>
        <c:axId val="228756480"/>
      </c:scatterChart>
      <c:valAx>
        <c:axId val="228754560"/>
        <c:scaling>
          <c:orientation val="minMax"/>
        </c:scaling>
        <c:delete val="1"/>
        <c:axPos val="b"/>
        <c:numFmt formatCode="General" sourceLinked="1"/>
        <c:majorTickMark val="cross"/>
        <c:minorTickMark val="cross"/>
        <c:tickLblPos val="nextTo"/>
        <c:crossAx val="228756480"/>
        <c:crosses val="autoZero"/>
        <c:crossBetween val="midCat"/>
      </c:valAx>
      <c:valAx>
        <c:axId val="228756480"/>
        <c:scaling>
          <c:orientation val="minMax"/>
          <c:max val="2500"/>
          <c:min val="1000"/>
        </c:scaling>
        <c:delete val="1"/>
        <c:axPos val="l"/>
        <c:majorGridlines/>
        <c:numFmt formatCode="General" sourceLinked="1"/>
        <c:majorTickMark val="cross"/>
        <c:minorTickMark val="cross"/>
        <c:tickLblPos val="nextTo"/>
        <c:crossAx val="228754560"/>
        <c:crosses val="autoZero"/>
        <c:crossBetween val="midCat"/>
      </c:valAx>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autoTitleDeleted val="1"/>
    <c:plotArea>
      <c:layout/>
      <c:scatterChart>
        <c:scatterStyle val="lineMarker"/>
        <c:varyColors val="1"/>
        <c:ser>
          <c:idx val="0"/>
          <c:order val="0"/>
          <c:tx>
            <c:strRef>
              <c:f>Feuil2!$A$4</c:f>
              <c:strCache>
                <c:ptCount val="1"/>
                <c:pt idx="0">
                  <c:v>Valeurs</c:v>
                </c:pt>
              </c:strCache>
            </c:strRef>
          </c:tx>
          <c:xVal>
            <c:numRef>
              <c:f>Feuil2!$B$3:$J$3</c:f>
              <c:numCache>
                <c:formatCode>General</c:formatCode>
                <c:ptCount val="9"/>
                <c:pt idx="0">
                  <c:v>1</c:v>
                </c:pt>
                <c:pt idx="1">
                  <c:v>2</c:v>
                </c:pt>
                <c:pt idx="2">
                  <c:v>3</c:v>
                </c:pt>
                <c:pt idx="3">
                  <c:v>4</c:v>
                </c:pt>
                <c:pt idx="4">
                  <c:v>5</c:v>
                </c:pt>
                <c:pt idx="5">
                  <c:v>6</c:v>
                </c:pt>
                <c:pt idx="6">
                  <c:v>7</c:v>
                </c:pt>
                <c:pt idx="7">
                  <c:v>8</c:v>
                </c:pt>
                <c:pt idx="8">
                  <c:v>9</c:v>
                </c:pt>
              </c:numCache>
            </c:numRef>
          </c:xVal>
          <c:yVal>
            <c:numRef>
              <c:f>Feuil2!$B$4:$J$4</c:f>
              <c:numCache>
                <c:formatCode>General</c:formatCode>
                <c:ptCount val="9"/>
                <c:pt idx="0">
                  <c:v>4</c:v>
                </c:pt>
                <c:pt idx="1">
                  <c:v>6</c:v>
                </c:pt>
                <c:pt idx="2">
                  <c:v>5</c:v>
                </c:pt>
                <c:pt idx="3">
                  <c:v>3</c:v>
                </c:pt>
                <c:pt idx="4">
                  <c:v>7</c:v>
                </c:pt>
                <c:pt idx="5">
                  <c:v>5</c:v>
                </c:pt>
                <c:pt idx="6">
                  <c:v>4</c:v>
                </c:pt>
                <c:pt idx="7">
                  <c:v>3</c:v>
                </c:pt>
                <c:pt idx="8">
                  <c:v>6</c:v>
                </c:pt>
              </c:numCache>
            </c:numRef>
          </c:yVal>
          <c:smooth val="1"/>
        </c:ser>
        <c:ser>
          <c:idx val="1"/>
          <c:order val="1"/>
          <c:tx>
            <c:v>MM o3</c:v>
          </c:tx>
          <c:xVal>
            <c:numRef>
              <c:f>Feuil2!$C$3:$I$3</c:f>
              <c:numCache>
                <c:formatCode>General</c:formatCode>
                <c:ptCount val="7"/>
                <c:pt idx="0">
                  <c:v>2</c:v>
                </c:pt>
                <c:pt idx="1">
                  <c:v>3</c:v>
                </c:pt>
                <c:pt idx="2">
                  <c:v>4</c:v>
                </c:pt>
                <c:pt idx="3">
                  <c:v>5</c:v>
                </c:pt>
                <c:pt idx="4">
                  <c:v>6</c:v>
                </c:pt>
                <c:pt idx="5">
                  <c:v>7</c:v>
                </c:pt>
                <c:pt idx="6">
                  <c:v>8</c:v>
                </c:pt>
              </c:numCache>
            </c:numRef>
          </c:xVal>
          <c:yVal>
            <c:numRef>
              <c:f>Feuil2!$C$5:$I$5</c:f>
              <c:numCache>
                <c:formatCode>General</c:formatCode>
                <c:ptCount val="7"/>
                <c:pt idx="0">
                  <c:v>5</c:v>
                </c:pt>
                <c:pt idx="1">
                  <c:v>4.67</c:v>
                </c:pt>
                <c:pt idx="2">
                  <c:v>5</c:v>
                </c:pt>
                <c:pt idx="3">
                  <c:v>5</c:v>
                </c:pt>
                <c:pt idx="4">
                  <c:v>5.33</c:v>
                </c:pt>
                <c:pt idx="5">
                  <c:v>4</c:v>
                </c:pt>
                <c:pt idx="6">
                  <c:v>4.33</c:v>
                </c:pt>
              </c:numCache>
            </c:numRef>
          </c:yVal>
          <c:smooth val="1"/>
        </c:ser>
        <c:ser>
          <c:idx val="2"/>
          <c:order val="2"/>
          <c:tx>
            <c:strRef>
              <c:f>Feuil2!$A$6</c:f>
              <c:strCache>
                <c:ptCount val="1"/>
                <c:pt idx="0">
                  <c:v>MM o5</c:v>
                </c:pt>
              </c:strCache>
            </c:strRef>
          </c:tx>
          <c:xVal>
            <c:numRef>
              <c:f>Feuil2!$D$3:$H$3</c:f>
              <c:numCache>
                <c:formatCode>General</c:formatCode>
                <c:ptCount val="5"/>
                <c:pt idx="0">
                  <c:v>3</c:v>
                </c:pt>
                <c:pt idx="1">
                  <c:v>4</c:v>
                </c:pt>
                <c:pt idx="2">
                  <c:v>5</c:v>
                </c:pt>
                <c:pt idx="3">
                  <c:v>6</c:v>
                </c:pt>
                <c:pt idx="4">
                  <c:v>7</c:v>
                </c:pt>
              </c:numCache>
            </c:numRef>
          </c:xVal>
          <c:yVal>
            <c:numRef>
              <c:f>Feuil2!$D$6:$H$6</c:f>
              <c:numCache>
                <c:formatCode>General</c:formatCode>
                <c:ptCount val="5"/>
                <c:pt idx="0">
                  <c:v>5</c:v>
                </c:pt>
                <c:pt idx="1">
                  <c:v>5.2</c:v>
                </c:pt>
                <c:pt idx="2">
                  <c:v>4.8</c:v>
                </c:pt>
                <c:pt idx="3">
                  <c:v>4.4000000000000004</c:v>
                </c:pt>
                <c:pt idx="4">
                  <c:v>5</c:v>
                </c:pt>
              </c:numCache>
            </c:numRef>
          </c:yVal>
          <c:smooth val="1"/>
        </c:ser>
        <c:dLbls>
          <c:showLegendKey val="0"/>
          <c:showVal val="0"/>
          <c:showCatName val="0"/>
          <c:showSerName val="0"/>
          <c:showPercent val="0"/>
          <c:showBubbleSize val="0"/>
        </c:dLbls>
        <c:axId val="228777984"/>
        <c:axId val="228779520"/>
      </c:scatterChart>
      <c:valAx>
        <c:axId val="228777984"/>
        <c:scaling>
          <c:orientation val="minMax"/>
        </c:scaling>
        <c:delete val="1"/>
        <c:axPos val="b"/>
        <c:numFmt formatCode="General" sourceLinked="1"/>
        <c:majorTickMark val="cross"/>
        <c:minorTickMark val="cross"/>
        <c:tickLblPos val="nextTo"/>
        <c:crossAx val="228779520"/>
        <c:crosses val="autoZero"/>
        <c:crossBetween val="midCat"/>
      </c:valAx>
      <c:valAx>
        <c:axId val="228779520"/>
        <c:scaling>
          <c:orientation val="minMax"/>
          <c:max val="8"/>
          <c:min val="2"/>
        </c:scaling>
        <c:delete val="1"/>
        <c:axPos val="l"/>
        <c:majorGridlines/>
        <c:numFmt formatCode="General" sourceLinked="1"/>
        <c:majorTickMark val="cross"/>
        <c:minorTickMark val="cross"/>
        <c:tickLblPos val="nextTo"/>
        <c:crossAx val="228777984"/>
        <c:crosses val="autoZero"/>
        <c:crossBetween val="midCat"/>
      </c:valAx>
    </c:plotArea>
    <c:legend>
      <c:legendPos val="r"/>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title>
      <c:tx>
        <c:rich>
          <a:bodyPr/>
          <a:lstStyle/>
          <a:p>
            <a:pPr>
              <a:defRPr/>
            </a:pPr>
            <a:r>
              <a:rPr lang="fr-FR"/>
              <a:t>Méthode de la bande</a:t>
            </a:r>
          </a:p>
        </c:rich>
      </c:tx>
      <c:overlay val="1"/>
    </c:title>
    <c:autoTitleDeleted val="0"/>
    <c:plotArea>
      <c:layout/>
      <c:scatterChart>
        <c:scatterStyle val="lineMarker"/>
        <c:varyColors val="1"/>
        <c:ser>
          <c:idx val="0"/>
          <c:order val="0"/>
          <c:tx>
            <c:strRef>
              <c:f>Feuil3!$F$10</c:f>
              <c:strCache>
                <c:ptCount val="1"/>
                <c:pt idx="0">
                  <c:v>Valeur</c:v>
                </c:pt>
              </c:strCache>
            </c:strRef>
          </c:tx>
          <c:xVal>
            <c:strRef>
              <c:f>Feuil3!$E$11:$E$70</c:f>
              <c:strCache>
                <c:ptCount val="60"/>
                <c:pt idx="0">
                  <c:v>Janvier 1996</c:v>
                </c:pt>
                <c:pt idx="1">
                  <c:v>Février 1996</c:v>
                </c:pt>
                <c:pt idx="2">
                  <c:v>Mars 1996</c:v>
                </c:pt>
                <c:pt idx="3">
                  <c:v>Avril 1996</c:v>
                </c:pt>
                <c:pt idx="4">
                  <c:v>Mai 1996</c:v>
                </c:pt>
                <c:pt idx="5">
                  <c:v>Juin 1996</c:v>
                </c:pt>
                <c:pt idx="6">
                  <c:v>Juillet 1996</c:v>
                </c:pt>
                <c:pt idx="7">
                  <c:v>Août 1996</c:v>
                </c:pt>
                <c:pt idx="8">
                  <c:v>Septembre 1996</c:v>
                </c:pt>
                <c:pt idx="9">
                  <c:v>Octobre 1996</c:v>
                </c:pt>
                <c:pt idx="10">
                  <c:v>Novembre 1996</c:v>
                </c:pt>
                <c:pt idx="11">
                  <c:v>Décembre 1996</c:v>
                </c:pt>
                <c:pt idx="12">
                  <c:v>Janvier 1997</c:v>
                </c:pt>
                <c:pt idx="13">
                  <c:v>Février 1997</c:v>
                </c:pt>
                <c:pt idx="14">
                  <c:v>Mars 1997</c:v>
                </c:pt>
                <c:pt idx="15">
                  <c:v>Avril 1997</c:v>
                </c:pt>
                <c:pt idx="16">
                  <c:v>Mai 1997</c:v>
                </c:pt>
                <c:pt idx="17">
                  <c:v>Juin 1997</c:v>
                </c:pt>
                <c:pt idx="18">
                  <c:v>Juillet 1997</c:v>
                </c:pt>
                <c:pt idx="19">
                  <c:v>Août 1997</c:v>
                </c:pt>
                <c:pt idx="20">
                  <c:v>Septembre 1997</c:v>
                </c:pt>
                <c:pt idx="21">
                  <c:v>Octobre 1997</c:v>
                </c:pt>
                <c:pt idx="22">
                  <c:v>Novembre 1997</c:v>
                </c:pt>
                <c:pt idx="23">
                  <c:v>Décembre 1997</c:v>
                </c:pt>
                <c:pt idx="24">
                  <c:v>Janvier 1998</c:v>
                </c:pt>
                <c:pt idx="25">
                  <c:v>Février 1998</c:v>
                </c:pt>
                <c:pt idx="26">
                  <c:v>Mars 1998</c:v>
                </c:pt>
                <c:pt idx="27">
                  <c:v>Avril 1998</c:v>
                </c:pt>
                <c:pt idx="28">
                  <c:v>Mai 1998</c:v>
                </c:pt>
                <c:pt idx="29">
                  <c:v>Juin 1998</c:v>
                </c:pt>
                <c:pt idx="30">
                  <c:v>Juillet 1998</c:v>
                </c:pt>
                <c:pt idx="31">
                  <c:v>Août 1998</c:v>
                </c:pt>
                <c:pt idx="32">
                  <c:v>Septembre 1998</c:v>
                </c:pt>
                <c:pt idx="33">
                  <c:v>Octobre 1998</c:v>
                </c:pt>
                <c:pt idx="34">
                  <c:v>Novembre 1998</c:v>
                </c:pt>
                <c:pt idx="35">
                  <c:v>Décembre 1998</c:v>
                </c:pt>
                <c:pt idx="36">
                  <c:v>Janvier 1999</c:v>
                </c:pt>
                <c:pt idx="37">
                  <c:v>Février 1999</c:v>
                </c:pt>
                <c:pt idx="38">
                  <c:v>Mars 1999</c:v>
                </c:pt>
                <c:pt idx="39">
                  <c:v>Avril 1999</c:v>
                </c:pt>
                <c:pt idx="40">
                  <c:v>Mai 1999</c:v>
                </c:pt>
                <c:pt idx="41">
                  <c:v>Juin 1999</c:v>
                </c:pt>
                <c:pt idx="42">
                  <c:v>Juillet 1999</c:v>
                </c:pt>
                <c:pt idx="43">
                  <c:v>Août 1999</c:v>
                </c:pt>
                <c:pt idx="44">
                  <c:v>Septembre 1999</c:v>
                </c:pt>
                <c:pt idx="45">
                  <c:v>Octobre 1999</c:v>
                </c:pt>
                <c:pt idx="46">
                  <c:v>Novembre 1999</c:v>
                </c:pt>
                <c:pt idx="47">
                  <c:v>Décembre 1999</c:v>
                </c:pt>
                <c:pt idx="48">
                  <c:v>Janvier 2000</c:v>
                </c:pt>
                <c:pt idx="49">
                  <c:v>Février 2000</c:v>
                </c:pt>
                <c:pt idx="50">
                  <c:v>Mars 2000</c:v>
                </c:pt>
                <c:pt idx="51">
                  <c:v>Avril 2000</c:v>
                </c:pt>
                <c:pt idx="52">
                  <c:v>Mai 2000</c:v>
                </c:pt>
                <c:pt idx="53">
                  <c:v>Juin 2000</c:v>
                </c:pt>
                <c:pt idx="54">
                  <c:v>Juillet 2000</c:v>
                </c:pt>
                <c:pt idx="55">
                  <c:v>Août 2000</c:v>
                </c:pt>
                <c:pt idx="56">
                  <c:v>Septembre 2000</c:v>
                </c:pt>
                <c:pt idx="57">
                  <c:v>Octobre 2000</c:v>
                </c:pt>
                <c:pt idx="58">
                  <c:v>Novembre 2000</c:v>
                </c:pt>
                <c:pt idx="59">
                  <c:v>Décembre 2000</c:v>
                </c:pt>
              </c:strCache>
            </c:strRef>
          </c:xVal>
          <c:yVal>
            <c:numRef>
              <c:f>Feuil3!$F$11:$F$70</c:f>
              <c:numCache>
                <c:formatCode>General</c:formatCode>
                <c:ptCount val="60"/>
                <c:pt idx="0">
                  <c:v>2006</c:v>
                </c:pt>
                <c:pt idx="1">
                  <c:v>3224</c:v>
                </c:pt>
                <c:pt idx="2">
                  <c:v>3789</c:v>
                </c:pt>
                <c:pt idx="3">
                  <c:v>4153</c:v>
                </c:pt>
                <c:pt idx="4">
                  <c:v>3100</c:v>
                </c:pt>
                <c:pt idx="5">
                  <c:v>2527</c:v>
                </c:pt>
                <c:pt idx="6">
                  <c:v>3015</c:v>
                </c:pt>
                <c:pt idx="7">
                  <c:v>1504</c:v>
                </c:pt>
                <c:pt idx="8">
                  <c:v>1847</c:v>
                </c:pt>
                <c:pt idx="9">
                  <c:v>2314</c:v>
                </c:pt>
                <c:pt idx="10">
                  <c:v>1673</c:v>
                </c:pt>
                <c:pt idx="11">
                  <c:v>1602</c:v>
                </c:pt>
                <c:pt idx="12">
                  <c:v>2247</c:v>
                </c:pt>
                <c:pt idx="13">
                  <c:v>3862</c:v>
                </c:pt>
                <c:pt idx="14">
                  <c:v>3586</c:v>
                </c:pt>
                <c:pt idx="15">
                  <c:v>4047</c:v>
                </c:pt>
                <c:pt idx="16">
                  <c:v>2838</c:v>
                </c:pt>
                <c:pt idx="17">
                  <c:v>2727</c:v>
                </c:pt>
                <c:pt idx="18">
                  <c:v>2730</c:v>
                </c:pt>
                <c:pt idx="19">
                  <c:v>1648</c:v>
                </c:pt>
                <c:pt idx="20">
                  <c:v>2007</c:v>
                </c:pt>
                <c:pt idx="21">
                  <c:v>2450</c:v>
                </c:pt>
                <c:pt idx="22">
                  <c:v>1966</c:v>
                </c:pt>
                <c:pt idx="23">
                  <c:v>1695</c:v>
                </c:pt>
                <c:pt idx="24">
                  <c:v>2433</c:v>
                </c:pt>
                <c:pt idx="25">
                  <c:v>3723</c:v>
                </c:pt>
                <c:pt idx="26">
                  <c:v>4325</c:v>
                </c:pt>
                <c:pt idx="27">
                  <c:v>4493</c:v>
                </c:pt>
                <c:pt idx="28">
                  <c:v>3399</c:v>
                </c:pt>
                <c:pt idx="29">
                  <c:v>3083</c:v>
                </c:pt>
                <c:pt idx="30">
                  <c:v>3247</c:v>
                </c:pt>
                <c:pt idx="31">
                  <c:v>1928</c:v>
                </c:pt>
                <c:pt idx="32">
                  <c:v>2377</c:v>
                </c:pt>
                <c:pt idx="33">
                  <c:v>2831</c:v>
                </c:pt>
                <c:pt idx="34">
                  <c:v>2388</c:v>
                </c:pt>
                <c:pt idx="35">
                  <c:v>2126</c:v>
                </c:pt>
                <c:pt idx="36">
                  <c:v>3127</c:v>
                </c:pt>
                <c:pt idx="37">
                  <c:v>4437</c:v>
                </c:pt>
                <c:pt idx="38">
                  <c:v>5478</c:v>
                </c:pt>
                <c:pt idx="39">
                  <c:v>4384</c:v>
                </c:pt>
                <c:pt idx="40">
                  <c:v>3552</c:v>
                </c:pt>
                <c:pt idx="41">
                  <c:v>3678</c:v>
                </c:pt>
                <c:pt idx="42">
                  <c:v>3611</c:v>
                </c:pt>
                <c:pt idx="43">
                  <c:v>2260</c:v>
                </c:pt>
                <c:pt idx="44">
                  <c:v>2699</c:v>
                </c:pt>
                <c:pt idx="45">
                  <c:v>3071</c:v>
                </c:pt>
                <c:pt idx="46">
                  <c:v>2510</c:v>
                </c:pt>
                <c:pt idx="47">
                  <c:v>2182</c:v>
                </c:pt>
                <c:pt idx="48">
                  <c:v>3016</c:v>
                </c:pt>
                <c:pt idx="49">
                  <c:v>4671</c:v>
                </c:pt>
                <c:pt idx="50">
                  <c:v>5218</c:v>
                </c:pt>
                <c:pt idx="51">
                  <c:v>4746</c:v>
                </c:pt>
                <c:pt idx="52">
                  <c:v>4814</c:v>
                </c:pt>
                <c:pt idx="53">
                  <c:v>3545</c:v>
                </c:pt>
                <c:pt idx="54">
                  <c:v>3341</c:v>
                </c:pt>
                <c:pt idx="55">
                  <c:v>2439</c:v>
                </c:pt>
                <c:pt idx="56">
                  <c:v>2637</c:v>
                </c:pt>
                <c:pt idx="57">
                  <c:v>3085</c:v>
                </c:pt>
                <c:pt idx="58">
                  <c:v>2737</c:v>
                </c:pt>
                <c:pt idx="59">
                  <c:v>2055</c:v>
                </c:pt>
              </c:numCache>
            </c:numRef>
          </c:yVal>
          <c:smooth val="1"/>
        </c:ser>
        <c:dLbls>
          <c:showLegendKey val="0"/>
          <c:showVal val="0"/>
          <c:showCatName val="0"/>
          <c:showSerName val="0"/>
          <c:showPercent val="0"/>
          <c:showBubbleSize val="0"/>
        </c:dLbls>
        <c:axId val="229061760"/>
        <c:axId val="229063296"/>
      </c:scatterChart>
      <c:valAx>
        <c:axId val="229061760"/>
        <c:scaling>
          <c:orientation val="minMax"/>
        </c:scaling>
        <c:delete val="1"/>
        <c:axPos val="b"/>
        <c:majorTickMark val="cross"/>
        <c:minorTickMark val="cross"/>
        <c:tickLblPos val="nextTo"/>
        <c:crossAx val="229063296"/>
        <c:crosses val="autoZero"/>
        <c:crossBetween val="midCat"/>
      </c:valAx>
      <c:valAx>
        <c:axId val="229063296"/>
        <c:scaling>
          <c:orientation val="minMax"/>
        </c:scaling>
        <c:delete val="1"/>
        <c:axPos val="l"/>
        <c:majorGridlines/>
        <c:numFmt formatCode="General" sourceLinked="1"/>
        <c:majorTickMark val="cross"/>
        <c:minorTickMark val="cross"/>
        <c:tickLblPos val="nextTo"/>
        <c:crossAx val="229061760"/>
        <c:crosses val="autoZero"/>
        <c:crossBetween val="midCat"/>
      </c:valAx>
    </c:plotArea>
    <c:legend>
      <c:legendPos val="r"/>
      <c:overlay val="1"/>
    </c:legend>
    <c:plotVisOnly val="1"/>
    <c:dispBlanksAs val="zero"/>
    <c:showDLblsOverMax val="1"/>
  </c:chart>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0.09207</cdr:x>
      <cdr:y>0.19751</cdr:y>
    </cdr:from>
    <cdr:to>
      <cdr:x>0.78041</cdr:x>
      <cdr:y>0.43616</cdr:y>
    </cdr:to>
    <cdr:sp macro="" textlink="">
      <cdr:nvSpPr>
        <cdr:cNvPr id="3" name="Connecteur droit 2"/>
        <cdr:cNvSpPr/>
      </cdr:nvSpPr>
      <cdr:spPr>
        <a:xfrm xmlns:a="http://schemas.openxmlformats.org/drawingml/2006/main" flipV="1">
          <a:off x="479713" y="570015"/>
          <a:ext cx="3586348" cy="68876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0.08979</cdr:x>
      <cdr:y>0.58429</cdr:y>
    </cdr:from>
    <cdr:to>
      <cdr:x>0.83967</cdr:x>
      <cdr:y>0.73653</cdr:y>
    </cdr:to>
    <cdr:sp macro="" textlink="">
      <cdr:nvSpPr>
        <cdr:cNvPr id="4" name="Connecteur droit 3"/>
        <cdr:cNvSpPr/>
      </cdr:nvSpPr>
      <cdr:spPr>
        <a:xfrm xmlns:a="http://schemas.openxmlformats.org/drawingml/2006/main" flipV="1">
          <a:off x="467838" y="1686295"/>
          <a:ext cx="3906982" cy="439388"/>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fr-F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DE607D-67A6-469D-AD79-523A58B5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20539</Words>
  <Characters>112965</Characters>
  <Application>Microsoft Office Word</Application>
  <DocSecurity>0</DocSecurity>
  <Lines>941</Lines>
  <Paragraphs>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 de contrôle de gestion appliqué à l'assurance</vt:lpstr>
      <vt:lpstr>Cours de contrôle de gestion appliqué à l'assurance</vt:lpstr>
    </vt:vector>
  </TitlesOfParts>
  <Company/>
  <LinksUpToDate>false</LinksUpToDate>
  <CharactersWithSpaces>133238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6</cp:revision>
  <cp:lastPrinted>2014-10-10T19:10:00Z</cp:lastPrinted>
  <dcterms:created xsi:type="dcterms:W3CDTF">2015-08-02T14:38:00Z</dcterms:created>
  <dcterms:modified xsi:type="dcterms:W3CDTF">2015-08-02T14:42:00Z</dcterms:modified>
</cp:coreProperties>
</file>