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0" w:rsidRDefault="00CB7930" w:rsidP="005A5165"/>
    <w:p w:rsidR="00CB7930" w:rsidRPr="00CB7930" w:rsidRDefault="00CB7930" w:rsidP="00CB7930">
      <w:pPr>
        <w:pStyle w:val="Heading1"/>
      </w:pPr>
      <w:r w:rsidRPr="00CB7930">
        <w:t>Management de portfolio</w:t>
      </w:r>
      <w:bookmarkStart w:id="0" w:name="_GoBack"/>
      <w:bookmarkEnd w:id="0"/>
    </w:p>
    <w:p w:rsidR="0093062A" w:rsidRPr="00CB7930" w:rsidRDefault="0093062A" w:rsidP="00CB7930">
      <w:pPr>
        <w:rPr>
          <w:color w:val="4F81BD" w:themeColor="accent1"/>
        </w:rPr>
      </w:pPr>
      <w:r w:rsidRPr="00CB7930">
        <w:rPr>
          <w:color w:val="4F81BD" w:themeColor="accent1"/>
        </w:rPr>
        <w:t>CAPM</w:t>
      </w:r>
    </w:p>
    <w:p w:rsidR="00CB7930" w:rsidRPr="00CB7930" w:rsidRDefault="00CB7930" w:rsidP="00AC75C4">
      <w:pPr>
        <w:rPr>
          <w:rFonts w:ascii="Times New Roman" w:hAnsi="Times New Roman" w:cs="Arial"/>
          <w:b/>
        </w:rPr>
      </w:pPr>
    </w:p>
    <w:p w:rsidR="00AC75C4" w:rsidRPr="00AC75C4" w:rsidRDefault="00CB7930" w:rsidP="00AC75C4">
      <w:pPr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:Excess return on market</m:t>
          </m:r>
        </m:oMath>
      </m:oMathPara>
    </w:p>
    <w:p w:rsidR="00AC75C4" w:rsidRPr="00AC75C4" w:rsidRDefault="00CB7930" w:rsidP="00AC75C4">
      <w:pPr>
        <w:rPr>
          <w:b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 : Excess return on stocks (= </m:t>
          </m:r>
          <m:r>
            <m:rPr>
              <m:sty m:val="bi"/>
            </m:rPr>
            <w:rPr>
              <w:rFonts w:ascii="Cambria Math" w:hAnsi="Cambria Math"/>
              <w:b/>
              <w:i/>
              <w:lang w:val="en-US"/>
            </w:rPr>
            <w:sym w:font="Symbol" w:char="F062"/>
          </m:r>
          <m:r>
            <m:rPr>
              <m:sty m:val="bi"/>
            </m:rPr>
            <w:rPr>
              <w:rFonts w:ascii="Cambria Math" w:hAnsi="Cambria Math"/>
              <w:lang w:val="en-US"/>
            </w:rPr>
            <m:t>.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AC75C4" w:rsidRDefault="00AC75C4" w:rsidP="00AC75C4">
      <w:pPr>
        <w:rPr>
          <w:lang w:val="en-US"/>
        </w:rPr>
      </w:pPr>
    </w:p>
    <w:p w:rsidR="004E4D65" w:rsidRDefault="004E4D65">
      <w:p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According to the CAP</w:t>
      </w:r>
      <w:r w:rsidR="00AC75C4">
        <w:rPr>
          <w:rFonts w:ascii="Cambria Math" w:hAnsi="Cambria Math"/>
          <w:lang w:val="en-US"/>
        </w:rPr>
        <w:t>M (Capital Asset Pricing Model)</w:t>
      </w:r>
      <w:r>
        <w:rPr>
          <w:rFonts w:ascii="Cambria Math" w:hAnsi="Cambria Math"/>
          <w:lang w:val="en-US"/>
        </w:rPr>
        <w:t>:</w:t>
      </w:r>
    </w:p>
    <w:p w:rsidR="00AC75C4" w:rsidRDefault="00CB7930">
      <w:pPr>
        <w:rPr>
          <w:rFonts w:ascii="Cambria Math" w:hAnsi="Cambria Math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</m:sSub>
            </m:sub>
          </m:sSub>
          <m:r>
            <w:rPr>
              <w:rFonts w:ascii="Cambria Math" w:hAnsi="Cambria Math"/>
              <w:highlight w:val="yellow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highlight w:val="yellow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accPr>
            <m:e>
              <m:r>
                <w:rPr>
                  <w:rFonts w:ascii="Cambria Math" w:hAnsi="Cambria Math"/>
                  <w:highlight w:val="yellow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highlight w:val="yellow"/>
              <w:lang w:val="en-US"/>
            </w:rPr>
            <m:t>.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  <w:lang w:val="en-US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  <w:highlight w:val="yellow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  <w:lang w:val="en-US"/>
            </w:rPr>
            <m:t>*0.01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AC75C4" w:rsidRDefault="00AC75C4">
      <w:pPr>
        <w:rPr>
          <w:rFonts w:ascii="Cambria Math" w:hAnsi="Cambria Math"/>
          <w:lang w:val="en-US"/>
        </w:rPr>
      </w:pPr>
    </w:p>
    <w:p w:rsidR="00AC75C4" w:rsidRDefault="00AC75C4" w:rsidP="00B30FF4">
      <w:pPr>
        <w:rPr>
          <w:lang w:val="en-US"/>
        </w:rPr>
      </w:pPr>
      <w:r w:rsidRPr="00AC75C4">
        <w:rPr>
          <w:rFonts w:ascii="Cambria Math" w:hAnsi="Cambria Math"/>
          <w:lang w:val="en-US"/>
        </w:rPr>
        <w:tab/>
      </w:r>
      <w:r>
        <w:rPr>
          <w:rFonts w:ascii="Cambria Math" w:hAnsi="Cambria Math"/>
          <w:lang w:val="en-US"/>
        </w:rPr>
        <w:t>With:</w:t>
      </w:r>
      <w:r>
        <w:rPr>
          <w:rFonts w:ascii="Cambria Math" w:hAnsi="Cambria Math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 xml:space="preserve">A </m:t>
            </m:r>
          </m:e>
        </m:acc>
        <m:r>
          <w:rPr>
            <w:rFonts w:ascii="Cambria Math" w:hAnsi="Cambria Math"/>
            <w:lang w:val="en-US"/>
          </w:rPr>
          <m:t>:Average degree of risk aversion across investors</m:t>
        </m:r>
      </m:oMath>
    </w:p>
    <w:p w:rsidR="00AC75C4" w:rsidRDefault="00AC75C4" w:rsidP="004B411E">
      <w:pPr>
        <w:rPr>
          <w:rFonts w:ascii="Cambria Math" w:hAnsi="Cambria Math"/>
          <w:lang w:val="en-US"/>
        </w:rPr>
      </w:pPr>
    </w:p>
    <w:p w:rsidR="00852C3A" w:rsidRDefault="00852C3A" w:rsidP="00852C3A">
      <m:oMathPara>
        <m:oMathParaPr>
          <m:jc m:val="left"/>
        </m:oMathParaPr>
        <m:oMath>
          <m:r>
            <w:rPr>
              <w:rFonts w:ascii="Cambria Math" w:hAnsi="Cambria Math"/>
              <w:i/>
            </w:rPr>
            <w:sym w:font="Symbol" w:char="F073"/>
          </m:r>
          <m:r>
            <w:rPr>
              <w:rFonts w:ascii="Cambria Math" w:hAnsi="Cambria Math"/>
            </w:rPr>
            <m:t xml:space="preserve"> : Standar déviation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risk</m:t>
              </m:r>
            </m:e>
          </m:d>
        </m:oMath>
      </m:oMathPara>
    </w:p>
    <w:p w:rsidR="00852C3A" w:rsidRDefault="00852C3A" w:rsidP="00852C3A">
      <w:r>
        <w:tab/>
      </w:r>
      <w:r>
        <w:rPr>
          <w:rFonts w:ascii="Symbol" w:hAnsi="Symbol"/>
        </w:rPr>
        <w:t></w:t>
      </w: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 COV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2"/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:rsidR="00852C3A" w:rsidRDefault="00852C3A" w:rsidP="00852C3A">
      <w:r>
        <w:tab/>
      </w:r>
      <w:r>
        <w:rPr>
          <w:rFonts w:ascii="Symbol" w:hAnsi="Symbol"/>
        </w:rPr>
        <w:t></w:t>
      </w: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= COV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XX</m:t>
            </m:r>
          </m:e>
        </m:d>
        <m: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=VAR(X) </m:t>
        </m:r>
      </m:oMath>
    </w:p>
    <w:p w:rsidR="00852C3A" w:rsidRPr="004B411E" w:rsidRDefault="00852C3A" w:rsidP="00852C3A">
      <w:pPr>
        <w:rPr>
          <w:rFonts w:ascii="Cambria Math" w:hAnsi="Cambria Math"/>
        </w:rPr>
      </w:pPr>
    </w:p>
    <w:p w:rsidR="00852C3A" w:rsidRDefault="00CB7930" w:rsidP="00852C3A">
      <w:pPr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b/>
                  <w:i/>
                </w:rPr>
                <w:sym w:font="Symbol" w:char="F073"/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² : Variance of the market portfolio</m:t>
          </m:r>
        </m:oMath>
      </m:oMathPara>
    </w:p>
    <w:p w:rsidR="00852C3A" w:rsidRDefault="00CB7930" w:rsidP="00852C3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b/>
                  <w:i/>
                </w:rPr>
                <w:sym w:font="Symbol" w:char="F073"/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² : Variance of a portfolio "p"</m:t>
          </m:r>
        </m:oMath>
      </m:oMathPara>
    </w:p>
    <w:p w:rsidR="00852C3A" w:rsidRPr="004B411E" w:rsidRDefault="00CB7930" w:rsidP="00852C3A">
      <w:pPr>
        <w:jc w:val="left"/>
        <w:rPr>
          <w:rFonts w:ascii="Cambria Math" w:hAnsi="Cambria Math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highlight w:val="yellow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</w:rPr>
                <m:t>p</m:t>
              </m:r>
            </m:sub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</w:rPr>
              </m:ctrlPr>
            </m:sSubSupPr>
            <m:e>
              <m:r>
                <w:rPr>
                  <w:rFonts w:ascii="Cambria Math" w:hAnsi="Cambria Math"/>
                  <w:highlight w:val="yellow"/>
                </w:rPr>
                <m:t>w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A</m:t>
              </m:r>
            </m:sub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</w:rPr>
            <m:t>.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</w:rPr>
                <m:t>A</m:t>
              </m:r>
            </m:sub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</w:rPr>
              </m:ctrlPr>
            </m:sSubSupPr>
            <m:e>
              <m:r>
                <w:rPr>
                  <w:rFonts w:ascii="Cambria Math" w:hAnsi="Cambria Math"/>
                  <w:highlight w:val="yellow"/>
                </w:rPr>
                <m:t>w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B</m:t>
              </m:r>
            </m:sub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</w:rPr>
            <m:t>.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</w:rPr>
                <m:t>B</m:t>
              </m:r>
            </m:sub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W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A</m:t>
              </m:r>
            </m:sub>
          </m:sSub>
          <m:r>
            <w:rPr>
              <w:rFonts w:ascii="Cambria Math" w:hAnsi="Cambria Math"/>
              <w:highlight w:val="yellow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highlight w:val="yellow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highlight w:val="yellow"/>
                    </w:rPr>
                    <w:sym w:font="Symbol" w:char="F072"/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AB</m:t>
                  </m:r>
                </m:sub>
              </m:sSub>
              <m:r>
                <w:rPr>
                  <w:rFonts w:ascii="Cambria Math" w:hAnsi="Cambria Math"/>
                  <w:highlight w:val="yellow"/>
                </w:rPr>
                <m:t>.</m:t>
              </m:r>
              <m:r>
                <w:rPr>
                  <w:rFonts w:ascii="Cambria Math" w:hAnsi="Cambria Math"/>
                  <w:i/>
                  <w:highlight w:val="yellow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</w:rPr>
                <m:t>A</m:t>
              </m:r>
            </m:sub>
          </m:sSub>
          <m:r>
            <w:rPr>
              <w:rFonts w:ascii="Cambria Math" w:hAnsi="Cambria Math"/>
              <w:highlight w:val="yellow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i/>
                  <w:highlight w:val="yellow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</w:rPr>
                <m:t>B</m:t>
              </m:r>
            </m:sub>
          </m:sSub>
        </m:oMath>
      </m:oMathPara>
    </w:p>
    <w:p w:rsidR="00852C3A" w:rsidRDefault="00852C3A" w:rsidP="00852C3A"/>
    <w:p w:rsidR="000D24CA" w:rsidRPr="001768DA" w:rsidRDefault="000D24CA" w:rsidP="00852C3A"/>
    <w:p w:rsidR="00852C3A" w:rsidRPr="00AC75C4" w:rsidRDefault="00852C3A" w:rsidP="00852C3A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b/>
              <w:i/>
            </w:rPr>
            <w:sym w:font="Symbol" w:char="F072"/>
          </m:r>
          <m:r>
            <m:rPr>
              <m:sty m:val="bi"/>
            </m:rPr>
            <w:rPr>
              <w:rFonts w:ascii="Cambria Math" w:hAnsi="Cambria Math"/>
            </w:rPr>
            <m:t> : Coefficient de corrélation</m:t>
          </m:r>
        </m:oMath>
      </m:oMathPara>
    </w:p>
    <w:p w:rsidR="00852C3A" w:rsidRDefault="00852C3A" w:rsidP="00852C3A"/>
    <w:p w:rsidR="00852C3A" w:rsidRPr="004B411E" w:rsidRDefault="00852C3A" w:rsidP="00852C3A">
      <w:pPr>
        <w:ind w:firstLine="708"/>
        <w:rPr>
          <w:rFonts w:ascii="Cambria Math" w:hAnsi="Cambria Math"/>
        </w:rPr>
      </w:pPr>
      <w:r>
        <w:t xml:space="preserve">Si </w:t>
      </w:r>
      <w:r>
        <w:sym w:font="Symbol" w:char="F072"/>
      </w:r>
      <w:r>
        <w:t xml:space="preserve"> = 1,  Alors</w:t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.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.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852C3A" w:rsidRDefault="00852C3A" w:rsidP="00852C3A">
      <w:r>
        <w:tab/>
      </w:r>
      <w:r>
        <w:tab/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d>
        <m:r>
          <w:rPr>
            <w:rFonts w:ascii="Cambria Math" w:hAnsi="Cambria Math"/>
          </w:rPr>
          <m:t>²</m:t>
        </m:r>
      </m:oMath>
    </w:p>
    <w:p w:rsidR="00852C3A" w:rsidRPr="004B411E" w:rsidRDefault="00852C3A" w:rsidP="00852C3A">
      <w:pPr>
        <w:rPr>
          <w:rFonts w:ascii="Cambria Math" w:hAnsi="Cambria Math"/>
        </w:rPr>
      </w:pP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852C3A" w:rsidRPr="005F3D5E" w:rsidRDefault="00852C3A" w:rsidP="00852C3A"/>
    <w:p w:rsidR="00852C3A" w:rsidRPr="004B411E" w:rsidRDefault="00852C3A" w:rsidP="00852C3A">
      <w:pPr>
        <w:ind w:firstLine="708"/>
        <w:rPr>
          <w:rFonts w:ascii="Cambria Math" w:hAnsi="Cambria Math"/>
        </w:rPr>
      </w:pPr>
      <w:r>
        <w:t xml:space="preserve">Si </w:t>
      </w:r>
      <w:r>
        <w:sym w:font="Symbol" w:char="F072"/>
      </w:r>
      <w:r>
        <w:t xml:space="preserve"> = - 1,  Alors</w:t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.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.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852C3A" w:rsidRDefault="00852C3A" w:rsidP="00852C3A">
      <w:r>
        <w:tab/>
      </w:r>
      <w:r>
        <w:tab/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d>
        <m:r>
          <w:rPr>
            <w:rFonts w:ascii="Cambria Math" w:hAnsi="Cambria Math"/>
          </w:rPr>
          <m:t>²</m:t>
        </m:r>
      </m:oMath>
    </w:p>
    <w:p w:rsidR="00852C3A" w:rsidRDefault="00852C3A" w:rsidP="00852C3A"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3"/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852C3A" w:rsidRDefault="00852C3A" w:rsidP="004B411E">
      <w:pPr>
        <w:rPr>
          <w:rFonts w:ascii="Cambria Math" w:hAnsi="Cambria Math"/>
          <w:lang w:val="en-US"/>
        </w:rPr>
      </w:pPr>
    </w:p>
    <w:p w:rsidR="0093062A" w:rsidRDefault="0093062A" w:rsidP="00CB7930">
      <w:pPr>
        <w:pStyle w:val="Heading1"/>
      </w:pPr>
      <w:r>
        <w:t>Implications of CAPM</w:t>
      </w:r>
    </w:p>
    <w:p w:rsidR="00AC75C4" w:rsidRDefault="00AC75C4" w:rsidP="00AC75C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b/>
              <w:i/>
              <w:lang w:val="en-US"/>
            </w:rPr>
            <w:sym w:font="Symbol" w:char="F062"/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:</m:t>
          </m:r>
          <m:r>
            <m:rPr>
              <m:sty m:val="bi"/>
            </m:rPr>
            <w:rPr>
              <w:rFonts w:ascii="Cambria Math" w:hAnsi="Cambria Math"/>
            </w:rPr>
            <m:t>Beta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coefficient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of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the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security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relative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to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the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market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portfolio</m:t>
          </m:r>
        </m:oMath>
      </m:oMathPara>
    </w:p>
    <w:p w:rsidR="00B65DDE" w:rsidRDefault="00B65DDE" w:rsidP="00AC75C4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  <w:highlight w:val="yellow"/>
              <w:lang w:val="en-US"/>
            </w:rPr>
            <w:sym w:font="Symbol" w:char="F062"/>
          </m:r>
          <m:r>
            <w:rPr>
              <w:rFonts w:ascii="Cambria Math" w:hAnsi="Cambria Math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  <w:lang w:val="en-US"/>
                </w:rPr>
                <m:t>COV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M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  <w:sym w:font="Symbol" w:char="F073"/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A66E8F" w:rsidRPr="00B65DDE" w:rsidRDefault="00A66E8F" w:rsidP="00AC75C4">
      <w:pPr>
        <w:rPr>
          <w:lang w:val="en-US"/>
        </w:rPr>
      </w:pPr>
    </w:p>
    <w:p w:rsidR="004B411E" w:rsidRDefault="004B411E" w:rsidP="004B411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 xml:space="preserve">If </m:t>
        </m:r>
        <m:r>
          <w:rPr>
            <w:rFonts w:ascii="Cambria Math" w:hAnsi="Cambria Math"/>
            <w:i/>
            <w:lang w:val="en-US"/>
          </w:rPr>
          <w:sym w:font="Symbol" w:char="F062"/>
        </m:r>
        <m:r>
          <w:rPr>
            <w:rFonts w:ascii="Cambria Math" w:hAnsi="Cambria Math"/>
            <w:lang w:val="en-US"/>
          </w:rPr>
          <m:t xml:space="preserve">=1,  So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</m:sSub>
          </m:e>
        </m:d>
      </m:oMath>
    </w:p>
    <w:p w:rsidR="004B411E" w:rsidRDefault="004B411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 xml:space="preserve">If </m:t>
        </m:r>
        <m:r>
          <w:rPr>
            <w:rFonts w:ascii="Cambria Math" w:hAnsi="Cambria Math"/>
            <w:i/>
            <w:lang w:val="en-US"/>
          </w:rPr>
          <w:sym w:font="Symbol" w:char="F062"/>
        </m:r>
        <m:r>
          <w:rPr>
            <w:rFonts w:ascii="Cambria Math" w:hAnsi="Cambria Math"/>
            <w:lang w:val="en-US"/>
          </w:rPr>
          <m:t xml:space="preserve">=0,  So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</m:oMath>
    </w:p>
    <w:p w:rsidR="00D740AB" w:rsidRDefault="00D740AB">
      <w:pPr>
        <w:rPr>
          <w:lang w:val="en-US"/>
        </w:rPr>
      </w:pPr>
    </w:p>
    <w:p w:rsidR="00D740AB" w:rsidRDefault="00D740AB">
      <w:r w:rsidRPr="00D740AB">
        <w:t>Le</w:t>
      </w:r>
      <w:r>
        <w:t>s</w:t>
      </w:r>
      <w:r w:rsidRPr="00D740AB">
        <w:t xml:space="preserve"> coefficient</w:t>
      </w:r>
      <w:r>
        <w:t>s</w:t>
      </w:r>
      <w:r w:rsidRPr="00D740AB">
        <w:t xml:space="preserve"> </w:t>
      </w:r>
      <w:r>
        <w:rPr>
          <w:lang w:val="en-US"/>
        </w:rPr>
        <w:sym w:font="Symbol" w:char="F062"/>
      </w:r>
      <w:r w:rsidRPr="00D740AB">
        <w:t xml:space="preserve"> des titres </w:t>
      </w:r>
      <w:r>
        <w:t xml:space="preserve">sont </w:t>
      </w:r>
      <w:r w:rsidRPr="00D740AB">
        <w:t>obtenus suivant une approche statistique, pa</w:t>
      </w:r>
      <w:r>
        <w:t xml:space="preserve">r </w:t>
      </w:r>
      <w:r w:rsidRPr="00D740AB">
        <w:rPr>
          <w:u w:val="single"/>
        </w:rPr>
        <w:t xml:space="preserve">régression entre le taux de rendement du titre considéré et le rendement du portefeuille de marché </w:t>
      </w:r>
      <w:r>
        <w:t>sur la même période.</w:t>
      </w:r>
    </w:p>
    <w:p w:rsidR="001E5A75" w:rsidRDefault="00D740AB" w:rsidP="00D740AB">
      <w:r>
        <w:t xml:space="preserve">Ces coefficients donnent une mesure de la </w:t>
      </w:r>
      <w:r w:rsidRPr="00D740AB">
        <w:rPr>
          <w:u w:val="single"/>
        </w:rPr>
        <w:t>sensibilité du titre aux mouvements de marché</w:t>
      </w:r>
      <w:r>
        <w:t>.</w:t>
      </w:r>
    </w:p>
    <w:p w:rsidR="009C50D5" w:rsidRDefault="001E5A75" w:rsidP="00D740AB">
      <w:r>
        <w:t xml:space="preserve">Le </w:t>
      </w:r>
      <w:r>
        <w:sym w:font="Symbol" w:char="F062"/>
      </w:r>
      <w:r>
        <w:t xml:space="preserve"> d’un portefeuille est la moyenne des </w:t>
      </w:r>
      <w:r>
        <w:sym w:font="Symbol" w:char="F062"/>
      </w:r>
      <w:r>
        <w:t xml:space="preserve"> qui le composent</w:t>
      </w:r>
    </w:p>
    <w:p w:rsidR="009C50D5" w:rsidRDefault="009C50D5" w:rsidP="00D740AB"/>
    <w:p w:rsidR="009C50D5" w:rsidRDefault="00CB7930" w:rsidP="009C50D5">
      <w:pPr>
        <w:rPr>
          <w:rFonts w:ascii="Cambria Math" w:hAnsi="Cambria Math"/>
          <w:b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>: Expected Rate of Return</m:t>
          </m:r>
        </m:oMath>
      </m:oMathPara>
    </w:p>
    <w:p w:rsidR="009C50D5" w:rsidRPr="00285226" w:rsidRDefault="00CB7930" w:rsidP="009C50D5">
      <w:pPr>
        <w:rPr>
          <w:rFonts w:ascii="Cambria Math" w:hAnsi="Cambria Math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=Risk free+Risk premium on individual securities</m:t>
          </m:r>
        </m:oMath>
      </m:oMathPara>
    </w:p>
    <w:p w:rsidR="00B30FF4" w:rsidRDefault="00CB7930" w:rsidP="00D740AB">
      <m:oMath>
        <m:sSub>
          <m:sSub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highlight w:val="yellow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highlight w:val="yellow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highlight w:val="yellow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highlight w:val="yellow"/>
                <w:lang w:val="en-US"/>
              </w:rPr>
              <m:t>f</m:t>
            </m:r>
          </m:sub>
        </m:sSub>
        <m:r>
          <w:rPr>
            <w:rFonts w:ascii="Cambria Math" w:hAnsi="Cambria Math"/>
            <w:highlight w:val="yellow"/>
            <w:lang w:val="en-US"/>
          </w:rPr>
          <m:t xml:space="preserve">+ </m:t>
        </m:r>
        <m:r>
          <w:rPr>
            <w:rFonts w:ascii="Cambria Math" w:hAnsi="Cambria Math"/>
            <w:i/>
            <w:highlight w:val="yellow"/>
            <w:lang w:val="en-US"/>
          </w:rPr>
          <w:sym w:font="Symbol" w:char="F062"/>
        </m:r>
        <m:r>
          <w:rPr>
            <w:rFonts w:ascii="Cambria Math" w:hAnsi="Cambria Math"/>
            <w:highlight w:val="yellow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highlight w:val="yellow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  <w:lang w:val="en-US"/>
                  </w:rPr>
                  <m:t>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highlight w:val="yellow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M</m:t>
                    </m:r>
                  </m:sub>
                </m:sSub>
              </m:sub>
            </m:sSub>
            <m:r>
              <w:rPr>
                <w:rFonts w:ascii="Cambria Math" w:hAnsi="Cambria Math"/>
                <w:highlight w:val="yellow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highlight w:val="yellow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highlight w:val="yellow"/>
                    <w:lang w:val="en-US"/>
                  </w:rPr>
                  <m:t>f</m:t>
                </m:r>
              </m:sub>
            </m:sSub>
          </m:e>
        </m:d>
      </m:oMath>
      <w:r w:rsidR="00B30FF4">
        <w:br w:type="page"/>
      </w:r>
    </w:p>
    <w:p w:rsidR="009C50D5" w:rsidRDefault="00CB7930" w:rsidP="009C50D5">
      <w:pPr>
        <w:rPr>
          <w:rFonts w:ascii="Cambria Math" w:hAnsi="Cambria Math"/>
          <w:b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- 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>: Risk Premium</m:t>
          </m:r>
        </m:oMath>
      </m:oMathPara>
    </w:p>
    <w:p w:rsidR="009C50D5" w:rsidRDefault="00CB7930" w:rsidP="009C50D5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highlight w:val="yellow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r</m:t>
              </m: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f</m:t>
              </m: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ub>
          </m:sSub>
          <m:r>
            <w:rPr>
              <w:rFonts w:ascii="Cambria Math" w:hAnsi="Cambria Math"/>
              <w:highlight w:val="yellow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  <w:lang w:val="en-US"/>
                </w:rPr>
                <m:t>COV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M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  <w:sym w:font="Symbol" w:char="F073"/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highlight w:val="yellow"/>
              <w:lang w:val="en-US"/>
            </w:rPr>
            <m:t>.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sub>
                  </m:sSub>
                </m:sub>
              </m:sSub>
              <m:r>
                <w:rPr>
                  <w:rFonts w:ascii="Cambria Math" w:hAnsi="Cambria Math"/>
                  <w:highlight w:val="yellow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f</m:t>
                  </m: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ub>
              </m:sSub>
            </m:e>
          </m:d>
          <m:r>
            <w:rPr>
              <w:rFonts w:ascii="Cambria Math" w:hAnsi="Cambria Math"/>
              <w:highlight w:val="yellow"/>
              <w:lang w:val="en-US"/>
            </w:rPr>
            <m:t>=</m:t>
          </m:r>
          <m:r>
            <w:rPr>
              <w:rFonts w:ascii="Cambria Math" w:hAnsi="Cambria Math"/>
              <w:i/>
              <w:highlight w:val="yellow"/>
              <w:lang w:val="en-US"/>
            </w:rPr>
            <w:sym w:font="Symbol" w:char="F062"/>
          </m:r>
          <m:r>
            <w:rPr>
              <w:rFonts w:ascii="Cambria Math" w:hAnsi="Cambria Math"/>
              <w:highlight w:val="yellow"/>
              <w:lang w:val="en-US"/>
            </w:rPr>
            <m:t>.</m:t>
          </m:r>
          <m:d>
            <m:d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M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highlight w:val="yellow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f</m:t>
                  </m:r>
                </m:sub>
              </m:sSub>
            </m:e>
          </m:d>
        </m:oMath>
      </m:oMathPara>
    </w:p>
    <w:p w:rsidR="009C50D5" w:rsidRPr="001E5A75" w:rsidRDefault="009C50D5" w:rsidP="00D740AB"/>
    <w:p w:rsidR="0093062A" w:rsidRDefault="0093062A" w:rsidP="00CB7930">
      <w:pPr>
        <w:pStyle w:val="Heading1"/>
      </w:pPr>
      <w:r>
        <w:t>Expected returns on individual securities</w:t>
      </w:r>
    </w:p>
    <w:p w:rsidR="0093062A" w:rsidRDefault="0093062A" w:rsidP="00422F73">
      <w:pPr>
        <w:jc w:val="left"/>
        <w:rPr>
          <w:lang w:val="en-US"/>
        </w:rPr>
      </w:pPr>
      <w:r>
        <w:rPr>
          <w:lang w:val="en-US"/>
        </w:rPr>
        <w:t>Example of General Motor’s</w:t>
      </w:r>
    </w:p>
    <w:p w:rsidR="0093062A" w:rsidRDefault="0093062A" w:rsidP="00422F73">
      <w:pPr>
        <w:jc w:val="left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  <w:lang w:val="en-US"/>
            </w:rPr>
            <m:t>G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  <w:highlight w:val="yellow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highlight w:val="yellow"/>
              <w:lang w:val="en-US"/>
            </w:rPr>
            <m:t>scontribution to variance=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GM</m:t>
              </m:r>
            </m:sub>
          </m:sSub>
          <m:r>
            <w:rPr>
              <w:rFonts w:ascii="Cambria Math" w:hAnsi="Cambria Math"/>
              <w:highlight w:val="yellow"/>
              <w:lang w:val="en-US"/>
            </w:rPr>
            <m:t>.COV</m:t>
          </m:r>
          <m:d>
            <m:d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GM</m:t>
                  </m:r>
                </m:sub>
              </m:sSub>
              <m:r>
                <w:rPr>
                  <w:rFonts w:ascii="Cambria Math" w:hAnsi="Cambria Math"/>
                  <w:highlight w:val="yellow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</m:sSub>
            </m:e>
          </m:d>
        </m:oMath>
      </m:oMathPara>
    </w:p>
    <w:p w:rsidR="00422F73" w:rsidRDefault="00422F73" w:rsidP="00422F73">
      <w:pPr>
        <w:jc w:val="left"/>
        <w:rPr>
          <w:lang w:val="en-US"/>
        </w:rPr>
      </w:pPr>
    </w:p>
    <w:p w:rsidR="0093062A" w:rsidRDefault="0093062A" w:rsidP="00422F73">
      <w:pPr>
        <w:jc w:val="left"/>
        <w:rPr>
          <w:lang w:val="en-US"/>
        </w:rPr>
      </w:pPr>
      <w:r>
        <w:rPr>
          <w:lang w:val="en-US"/>
        </w:rPr>
        <w:tab/>
      </w:r>
      <w:r w:rsidR="00422F73">
        <w:rPr>
          <w:rFonts w:ascii="Symbol" w:hAnsi="Symbol"/>
          <w:lang w:val="en-US"/>
        </w:rPr>
        <w:t></w:t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If COV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GM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/>
            <w:lang w:val="en-US"/>
          </w:rPr>
          <m:t xml:space="preserve">&lt;0, then GM makes a </m:t>
        </m:r>
        <m:r>
          <m:rPr>
            <m:sty m:val="bi"/>
          </m:rPr>
          <w:rPr>
            <w:rFonts w:ascii="Cambria Math" w:hAnsi="Cambria Math"/>
            <w:lang w:val="en-US"/>
          </w:rPr>
          <m:t>"</m:t>
        </m:r>
        <w:proofErr w:type="gramStart"/>
        <m:r>
          <m:rPr>
            <m:nor/>
          </m:rPr>
          <w:rPr>
            <w:rFonts w:ascii="Cambria Math" w:hAnsi="Cambria Math"/>
            <w:b/>
            <w:i/>
            <w:lang w:val="en-US"/>
          </w:rPr>
          <m:t>negative</m:t>
        </m:r>
        <w:proofErr w:type="gramEnd"/>
        <m:r>
          <m:rPr>
            <m:nor/>
          </m:rPr>
          <w:rPr>
            <w:rFonts w:ascii="Cambria Math" w:hAnsi="Cambria Math"/>
            <w:b/>
            <w:i/>
            <w:lang w:val="en-US"/>
          </w:rPr>
          <m:t xml:space="preserve"> contribution</m:t>
        </m:r>
        <m:r>
          <m:rPr>
            <m:nor/>
          </m:rPr>
          <w:rPr>
            <w:rFonts w:ascii="Cambria Math" w:hAnsi="Cambria Math"/>
            <w:i/>
            <w:lang w:val="en-US"/>
          </w:rPr>
          <m:t>"</m:t>
        </m:r>
      </m:oMath>
      <w:r w:rsidR="00422F73">
        <w:rPr>
          <w:lang w:val="en-US"/>
        </w:rPr>
        <w:t>, to portfolio risk, by providing returns that move inversely with the rest of the market.</w:t>
      </w:r>
    </w:p>
    <w:p w:rsidR="00422F73" w:rsidRDefault="00422F73" w:rsidP="00422F73">
      <w:pPr>
        <w:jc w:val="left"/>
        <w:rPr>
          <w:lang w:val="en-US"/>
        </w:rPr>
      </w:pPr>
    </w:p>
    <w:p w:rsidR="00422F73" w:rsidRDefault="0093062A" w:rsidP="00422F73">
      <w:pPr>
        <w:jc w:val="left"/>
        <w:rPr>
          <w:lang w:val="en-US"/>
        </w:rPr>
      </w:pPr>
      <w:r>
        <w:rPr>
          <w:lang w:val="en-US"/>
        </w:rPr>
        <w:tab/>
      </w:r>
      <w:r w:rsidR="00422F73">
        <w:rPr>
          <w:rFonts w:ascii="Symbol" w:hAnsi="Symbol"/>
          <w:lang w:val="en-US"/>
        </w:rPr>
        <w:t></w:t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If COV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GM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/>
            <w:lang w:val="en-US"/>
          </w:rPr>
          <m:t>&gt;0, then GM makes a "</m:t>
        </m:r>
        <m:r>
          <m:rPr>
            <m:sty m:val="bi"/>
          </m:rPr>
          <w:rPr>
            <w:rFonts w:ascii="Cambria Math" w:hAnsi="Cambria Math"/>
            <w:lang w:val="en-US"/>
          </w:rPr>
          <m:t>positive contribution</m:t>
        </m:r>
        <m:r>
          <w:rPr>
            <w:rFonts w:ascii="Cambria Math" w:hAnsi="Cambria Math"/>
            <w:lang w:val="en-US"/>
          </w:rPr>
          <m:t>"</m:t>
        </m:r>
      </m:oMath>
      <w:r w:rsidR="00422F73">
        <w:rPr>
          <w:lang w:val="en-US"/>
        </w:rPr>
        <w:t>, to overall portfolio risk, because its return amplify swings in the rest of the portfolio.</w:t>
      </w:r>
    </w:p>
    <w:p w:rsidR="00422F73" w:rsidRDefault="00422F73" w:rsidP="00422F73">
      <w:pPr>
        <w:jc w:val="left"/>
        <w:rPr>
          <w:lang w:val="en-US"/>
        </w:rPr>
      </w:pPr>
    </w:p>
    <w:p w:rsidR="00422F73" w:rsidRDefault="00CB7930" w:rsidP="00422F73">
      <w:pPr>
        <w:jc w:val="left"/>
        <w:rPr>
          <w:highlight w:val="yellow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</m:e>
          </m:nary>
        </m:oMath>
      </m:oMathPara>
    </w:p>
    <w:p w:rsidR="00422F73" w:rsidRDefault="00422F73" w:rsidP="00422F73">
      <w:pPr>
        <w:jc w:val="left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COV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GM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=COV(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GM</m:t>
              </m:r>
            </m:sub>
          </m:sSub>
          <m:r>
            <w:rPr>
              <w:rFonts w:ascii="Cambria Math" w:hAnsi="Cambria Math"/>
              <w:lang w:val="en-US"/>
            </w:rPr>
            <m:t>,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lang w:val="en-US"/>
            </w:rPr>
            <m:t>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.COV(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GM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</m:oMath>
      </m:oMathPara>
    </w:p>
    <w:p w:rsidR="005A5165" w:rsidRDefault="005A5165" w:rsidP="00422F73">
      <w:pPr>
        <w:jc w:val="left"/>
        <w:rPr>
          <w:lang w:val="en-US"/>
        </w:rPr>
      </w:pPr>
    </w:p>
    <w:p w:rsidR="00852C3A" w:rsidRDefault="004D2867" w:rsidP="00422F73">
      <w:pPr>
        <w:jc w:val="left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 : Weight (poids, proportion du titr</m:t>
          </m:r>
          <m:r>
            <w:rPr>
              <w:rFonts w:ascii="Cambria Math" w:hAnsi="Cambria Math"/>
            </w:rPr>
            <m:t>e dans le portefeuille)</m:t>
          </m:r>
        </m:oMath>
      </m:oMathPara>
    </w:p>
    <w:p w:rsidR="00852C3A" w:rsidRPr="00AC75C4" w:rsidRDefault="00852C3A" w:rsidP="00852C3A">
      <w:pPr>
        <w:rPr>
          <w:b/>
        </w:rPr>
      </w:pPr>
    </w:p>
    <w:p w:rsidR="00852C3A" w:rsidRPr="00852C3A" w:rsidRDefault="00852C3A" w:rsidP="00852C3A">
      <w:pPr>
        <w:rPr>
          <w:rFonts w:ascii="Cambria Math" w:hAnsi="Cambria Math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b/>
              <w:i/>
            </w:rPr>
            <w:sym w:font="Symbol" w:char="F061"/>
          </m:r>
          <m:r>
            <m:rPr>
              <m:sty m:val="bi"/>
            </m:rPr>
            <w:rPr>
              <w:rFonts w:ascii="Cambria Math" w:hAnsi="Cambria Math"/>
            </w:rPr>
            <m:t xml:space="preserve"> :Expected return in excess of that required by the CAPM</m:t>
          </m:r>
        </m:oMath>
      </m:oMathPara>
    </w:p>
    <w:p w:rsidR="00852C3A" w:rsidRDefault="00852C3A" w:rsidP="00852C3A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  <w:i/>
              <w:highlight w:val="yellow"/>
            </w:rPr>
            <w:sym w:font="Symbol" w:char="F061"/>
          </m:r>
          <m:r>
            <w:rPr>
              <w:rFonts w:ascii="Cambria Math" w:hAnsi="Cambria Math"/>
              <w:highlight w:val="yellow"/>
            </w:rPr>
            <m:t> 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R</m:t>
              </m:r>
            </m:sub>
          </m:sSub>
          <m:r>
            <w:rPr>
              <w:rFonts w:ascii="Cambria Math" w:hAnsi="Cambria Math"/>
              <w:highlight w:val="yellow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highlight w:val="yellow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highlight w:val="yellow"/>
                </w:rPr>
                <m:t>+</m:t>
              </m:r>
              <m:r>
                <w:rPr>
                  <w:rFonts w:ascii="Cambria Math" w:hAnsi="Cambria Math"/>
                  <w:i/>
                  <w:highlight w:val="yellow"/>
                </w:rPr>
                <w:sym w:font="Symbol" w:char="F062"/>
              </m:r>
              <m:r>
                <w:rPr>
                  <w:rFonts w:ascii="Cambria Math" w:hAnsi="Cambria Math"/>
                  <w:highlight w:val="yellow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E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m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highlight w:val="yellow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</w:rPr>
                        <m:t>f</m:t>
                      </m:r>
                    </m:sub>
                  </m:sSub>
                </m:e>
              </m:d>
            </m:e>
          </m:d>
        </m:oMath>
      </m:oMathPara>
    </w:p>
    <w:p w:rsidR="00F916DC" w:rsidRDefault="00F916DC" w:rsidP="00852C3A">
      <w:pPr>
        <w:jc w:val="left"/>
      </w:pPr>
    </w:p>
    <w:p w:rsidR="00F916DC" w:rsidRDefault="00F916DC" w:rsidP="00F916DC">
      <w:pPr>
        <w:jc w:val="center"/>
        <w:rPr>
          <w:lang w:val="en-US"/>
        </w:rPr>
      </w:pPr>
      <w:r w:rsidRPr="00F916DC">
        <w:rPr>
          <w:noProof/>
        </w:rPr>
        <w:drawing>
          <wp:inline distT="0" distB="0" distL="0" distR="0" wp14:anchorId="490BF89A" wp14:editId="6B4D0CAB">
            <wp:extent cx="3609975" cy="2171699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78" cy="217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0FF4" w:rsidRDefault="00B30FF4" w:rsidP="00F916DC">
      <w:pPr>
        <w:jc w:val="center"/>
        <w:rPr>
          <w:lang w:val="en-US"/>
        </w:rPr>
      </w:pPr>
    </w:p>
    <w:p w:rsidR="005A5165" w:rsidRDefault="005A5165" w:rsidP="00CB7930">
      <w:pPr>
        <w:pStyle w:val="Heading1"/>
      </w:pPr>
      <w:r>
        <w:t>Market price of risk</w:t>
      </w:r>
    </w:p>
    <w:p w:rsidR="005A5165" w:rsidRPr="005A5165" w:rsidRDefault="005A5165" w:rsidP="005A5165">
      <w:pPr>
        <w:rPr>
          <w:lang w:val="en-US"/>
        </w:rPr>
      </w:pPr>
      <w:r>
        <w:rPr>
          <w:lang w:val="en-US"/>
        </w:rPr>
        <w:t xml:space="preserve">The ratio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sub>
                </m:sSub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i/>
                    <w:lang w:val="en-US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den>
        </m:f>
      </m:oMath>
      <w:r>
        <w:rPr>
          <w:lang w:val="en-US"/>
        </w:rPr>
        <w:t xml:space="preserve"> is called </w:t>
      </w:r>
      <w:r>
        <w:rPr>
          <w:b/>
          <w:lang w:val="en-US"/>
        </w:rPr>
        <w:t>market price of risk</w:t>
      </w:r>
      <w:r>
        <w:rPr>
          <w:lang w:val="en-US"/>
        </w:rPr>
        <w:t>, because it quantifies the extra return that investors demand to bear portfolio risk.</w:t>
      </w:r>
    </w:p>
    <w:p w:rsidR="00422F73" w:rsidRPr="00422F73" w:rsidRDefault="00422F73" w:rsidP="00422F73">
      <w:pPr>
        <w:jc w:val="left"/>
        <w:rPr>
          <w:lang w:val="en-US"/>
        </w:rPr>
      </w:pPr>
    </w:p>
    <w:p w:rsidR="005F3D5E" w:rsidRPr="008D2EE2" w:rsidRDefault="005F3D5E" w:rsidP="004D2867">
      <w:pPr>
        <w:jc w:val="left"/>
        <w:rPr>
          <w:lang w:val="en-US"/>
        </w:rPr>
      </w:pPr>
    </w:p>
    <w:p w:rsidR="001768DA" w:rsidRPr="008D2EE2" w:rsidRDefault="00E77CD2">
      <w:pPr>
        <w:rPr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768DA" w:rsidRPr="008D2EE2" w:rsidRDefault="001768DA">
      <w:pPr>
        <w:rPr>
          <w:lang w:val="en-US"/>
        </w:rPr>
      </w:pPr>
    </w:p>
    <w:p w:rsidR="00B30FF4" w:rsidRDefault="00B30FF4">
      <w:pPr>
        <w:jc w:val="left"/>
        <w:rPr>
          <w:rFonts w:ascii="Times New Roman" w:hAnsi="Times New Roman" w:cs="Arial"/>
          <w:b/>
          <w:bCs/>
          <w:smallCaps/>
          <w:color w:val="800000"/>
          <w:kern w:val="32"/>
          <w:sz w:val="30"/>
          <w:szCs w:val="32"/>
          <w:lang w:val="en-US"/>
        </w:rPr>
      </w:pPr>
      <w:r w:rsidRPr="008D2EE2">
        <w:rPr>
          <w:lang w:val="en-US"/>
        </w:rPr>
        <w:br w:type="page"/>
      </w:r>
    </w:p>
    <w:p w:rsidR="001768DA" w:rsidRPr="00A3244B" w:rsidRDefault="00A3244B" w:rsidP="00CB7930">
      <w:pPr>
        <w:pStyle w:val="Heading1"/>
      </w:pPr>
      <w:r w:rsidRPr="00A3244B">
        <w:lastRenderedPageBreak/>
        <w:t>« Single Index » and « multi factor » models</w:t>
      </w:r>
    </w:p>
    <w:p w:rsidR="001768DA" w:rsidRDefault="00CB7930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highlight w:val="yellow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highlight w:val="yellow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highlight w:val="yellow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i</m:t>
              </m:r>
            </m:sub>
          </m:sSub>
        </m:oMath>
      </m:oMathPara>
    </w:p>
    <w:p w:rsidR="00A3244B" w:rsidRDefault="00A3244B">
      <w:pPr>
        <w:rPr>
          <w:lang w:val="en-US"/>
        </w:rPr>
      </w:pPr>
    </w:p>
    <w:p w:rsidR="00A3244B" w:rsidRPr="002E500E" w:rsidRDefault="00A3244B">
      <w:pPr>
        <w:rPr>
          <w:b/>
          <w:lang w:val="en-US"/>
        </w:rPr>
      </w:pPr>
      <w:r>
        <w:rPr>
          <w:lang w:val="en-US"/>
        </w:rPr>
        <w:t>With</w:t>
      </w: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:The expected return on the security</m:t>
        </m:r>
      </m:oMath>
    </w:p>
    <w:p w:rsidR="00A3244B" w:rsidRPr="002E500E" w:rsidRDefault="00A3244B">
      <w:pPr>
        <w:rPr>
          <w:b/>
          <w:lang w:val="en-US"/>
        </w:rPr>
      </w:pPr>
      <w:r w:rsidRPr="002E500E">
        <w:rPr>
          <w:b/>
          <w:lang w:val="en-U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:The impact of unanticipated macro events (= 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b/>
                <w:i/>
                <w:lang w:val="en-US"/>
              </w:rPr>
              <w:sym w:font="Symbol" w:char="F062"/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.F  with 'F' the macrofactor)</m:t>
        </m:r>
      </m:oMath>
    </w:p>
    <w:p w:rsidR="00A3244B" w:rsidRPr="002E500E" w:rsidRDefault="00A3244B">
      <w:pPr>
        <w:rPr>
          <w:b/>
          <w:lang w:val="en-US"/>
        </w:rPr>
      </w:pPr>
      <w:r w:rsidRPr="002E500E">
        <w:rPr>
          <w:b/>
          <w:lang w:val="en-U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:The impact of unanticipated firm-specific events</m:t>
        </m:r>
      </m:oMath>
    </w:p>
    <w:p w:rsidR="00A3244B" w:rsidRDefault="00A3244B">
      <w:pPr>
        <w:rPr>
          <w:lang w:val="en-US"/>
        </w:rPr>
      </w:pPr>
    </w:p>
    <w:p w:rsidR="00A3244B" w:rsidRDefault="00CB7930">
      <w:pPr>
        <w:rPr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  <w:lang w:val="en-US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highlight w:val="yellow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  <w:lang w:val="en-US"/>
                </w:rPr>
                <w:sym w:font="Symbol" w:char="F062"/>
              </m:r>
              <m:r>
                <w:rPr>
                  <w:rFonts w:ascii="Cambria Math" w:hAnsi="Cambria Math"/>
                  <w:highlight w:val="yellow"/>
                  <w:lang w:val="en-US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highlight w:val="yellow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  <w:lang w:val="en-US"/>
            </w:rPr>
            <m:t>.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  <w:lang w:val="en-US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  <w:highlight w:val="yellow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highlight w:val="yellow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  <w:lang w:val="en-US"/>
                </w:rPr>
                <w:sym w:font="Symbol" w:char="F073"/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highlight w:val="yellow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FC03B6" w:rsidRDefault="00FC03B6">
      <w:pPr>
        <w:rPr>
          <w:lang w:val="en-US"/>
        </w:rPr>
      </w:pPr>
    </w:p>
    <w:p w:rsidR="00CD44CB" w:rsidRPr="00CD44CB" w:rsidRDefault="00CD44CB">
      <w:pPr>
        <w:rPr>
          <w:lang w:val="en-US"/>
        </w:rPr>
      </w:pPr>
      <w:r>
        <w:rPr>
          <w:lang w:val="en-US"/>
        </w:rPr>
        <w:t>With</w:t>
      </w:r>
      <w:r>
        <w:rPr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b/>
                <w:i/>
                <w:lang w:val="en-US"/>
              </w:rPr>
              <w:sym w:font="Symbol" w:char="F073"/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lang w:val="en-US"/>
          </w:rPr>
          <m:t>:Risk specific variance</m:t>
        </m:r>
      </m:oMath>
    </w:p>
    <w:p w:rsidR="00CD44CB" w:rsidRDefault="00CD44CB">
      <w:pPr>
        <w:rPr>
          <w:lang w:val="en-US"/>
        </w:rPr>
      </w:pPr>
      <w:r>
        <w:rPr>
          <w:lang w:val="en-US"/>
        </w:rPr>
        <w:t>And</w:t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COV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lang w:val="en-US"/>
          </w:rPr>
          <m:t xml:space="preserve">=0 (because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 xml:space="preserve"> is specific to a firm and independant of the market)</m:t>
        </m:r>
      </m:oMath>
    </w:p>
    <w:p w:rsidR="00CD44CB" w:rsidRDefault="00CD44CB">
      <w:pPr>
        <w:rPr>
          <w:lang w:val="en-US"/>
        </w:rPr>
      </w:pPr>
    </w:p>
    <w:p w:rsidR="002E500E" w:rsidRPr="002E500E" w:rsidRDefault="002E500E">
      <w:pPr>
        <w:rPr>
          <w:u w:val="single"/>
          <w:lang w:val="en-US"/>
        </w:rPr>
      </w:pPr>
      <w:r w:rsidRPr="002E500E">
        <w:rPr>
          <w:u w:val="single"/>
          <w:lang w:val="en-US"/>
        </w:rPr>
        <w:t xml:space="preserve">Covariance between rates of return on two </w:t>
      </w:r>
      <w:r w:rsidR="009D125F" w:rsidRPr="002E500E">
        <w:rPr>
          <w:u w:val="single"/>
          <w:lang w:val="en-US"/>
        </w:rPr>
        <w:t>stocks</w:t>
      </w:r>
      <w:r w:rsidR="009D125F">
        <w:rPr>
          <w:u w:val="single"/>
          <w:lang w:val="en-US"/>
        </w:rPr>
        <w:t>?</w:t>
      </w:r>
    </w:p>
    <w:p w:rsidR="002E500E" w:rsidRDefault="002E500E">
      <w:pPr>
        <w:rPr>
          <w:lang w:val="en-US"/>
        </w:rPr>
      </w:pPr>
    </w:p>
    <w:p w:rsidR="002E500E" w:rsidRDefault="002E500E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COV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=COV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62"/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62"/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e>
          </m:d>
        </m:oMath>
      </m:oMathPara>
    </w:p>
    <w:p w:rsidR="002E500E" w:rsidRDefault="002E500E">
      <w:pPr>
        <w:rPr>
          <w:lang w:val="en-US"/>
        </w:rPr>
      </w:pPr>
    </w:p>
    <w:p w:rsidR="002E500E" w:rsidRDefault="002E500E">
      <w:pPr>
        <w:rPr>
          <w:lang w:val="en-US"/>
        </w:rPr>
      </w:pPr>
      <w:r>
        <w:rPr>
          <w:lang w:val="en-US"/>
        </w:rPr>
        <w:t>But since</w:t>
      </w: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i/>
                <w:lang w:val="en-US"/>
              </w:rPr>
              <w:sym w:font="Symbol" w:char="F061"/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i/>
                <w:lang w:val="en-US"/>
              </w:rPr>
              <w:sym w:font="Symbol" w:char="F061"/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  <w:lang w:val="en-US"/>
          </w:rPr>
          <m:t xml:space="preserve"> are contants, so their covariance is zero</m:t>
        </m:r>
      </m:oMath>
    </w:p>
    <w:p w:rsidR="002E500E" w:rsidRDefault="002E500E">
      <w:pPr>
        <w:rPr>
          <w:lang w:val="en-US"/>
        </w:rPr>
      </w:pPr>
      <w:r>
        <w:rPr>
          <w:lang w:val="en-US"/>
        </w:rPr>
        <w:t>And</w:t>
      </w:r>
      <w:r>
        <w:rPr>
          <w:lang w:val="en-US"/>
        </w:rPr>
        <w:tab/>
      </w: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>
        <w:rPr>
          <w:lang w:val="en-US"/>
        </w:rPr>
        <w:t xml:space="preserve"> are specific to the firm, so their covariance is zero</w:t>
      </w:r>
      <w:r>
        <w:rPr>
          <w:lang w:val="en-US"/>
        </w:rPr>
        <w:tab/>
      </w:r>
    </w:p>
    <w:p w:rsidR="002E500E" w:rsidRDefault="002E500E">
      <w:pPr>
        <w:rPr>
          <w:lang w:val="en-US"/>
        </w:rPr>
      </w:pPr>
    </w:p>
    <w:p w:rsidR="002E500E" w:rsidRDefault="002E500E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  <w:lang w:val="en-US"/>
            </w:rPr>
            <m:t>COV</m:t>
          </m:r>
          <m:d>
            <m:d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highlight w:val="yellow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  <w:highlight w:val="yellow"/>
              <w:lang w:val="en-US"/>
            </w:rPr>
            <m:t>=COV</m:t>
          </m:r>
          <m:d>
            <m:d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  <w:sym w:font="Symbol" w:char="F062"/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highlight w:val="yellow"/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highlight w:val="yellow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  <w:sym w:font="Symbol" w:char="F062"/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highlight w:val="yellow"/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  <w:highlight w:val="yellow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i/>
                  <w:highlight w:val="yellow"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highlight w:val="yellow"/>
              <w:lang w:val="en-US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i/>
                  <w:highlight w:val="yellow"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highlight w:val="yellow"/>
              <w:lang w:val="en-US"/>
            </w:rPr>
            <m:t>.</m:t>
          </m:r>
          <m:sSubSup>
            <m:sSubSup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i/>
                  <w:highlight w:val="yellow"/>
                  <w:lang w:val="en-US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  <w:highlight w:val="yellow"/>
                  <w:lang w:val="en-US"/>
                </w:rPr>
                <m:t>2</m:t>
              </m:r>
            </m:sup>
          </m:sSubSup>
        </m:oMath>
      </m:oMathPara>
    </w:p>
    <w:p w:rsidR="002E500E" w:rsidRDefault="002E500E">
      <w:pPr>
        <w:rPr>
          <w:lang w:val="en-US"/>
        </w:rPr>
      </w:pPr>
    </w:p>
    <w:p w:rsidR="008D2EE2" w:rsidRDefault="008D2EE2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COV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i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.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i/>
                  <w:lang w:val="en-US"/>
                </w:rPr>
                <w:sym w:font="Symbol" w:char="F073"/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</m:oMath>
      </m:oMathPara>
    </w:p>
    <w:p w:rsidR="00A6347D" w:rsidRPr="001E5A75" w:rsidRDefault="00A6347D" w:rsidP="00751489">
      <w:pPr>
        <w:pStyle w:val="Heading2"/>
        <w:rPr>
          <w:lang w:val="en-US"/>
        </w:rPr>
      </w:pPr>
      <w:r w:rsidRPr="001E5A75">
        <w:rPr>
          <w:lang w:val="en-US"/>
        </w:rPr>
        <w:t>The index model and diversification</w:t>
      </w:r>
    </w:p>
    <w:p w:rsidR="00A6347D" w:rsidRDefault="004D0FF9">
      <w:pPr>
        <w:rPr>
          <w:lang w:val="en-US"/>
        </w:rPr>
      </w:pPr>
      <w:r>
        <w:rPr>
          <w:rFonts w:cs="Arial"/>
          <w:b/>
          <w:bCs/>
          <w:i/>
          <w:iCs/>
          <w:smallCaps/>
          <w:shadow/>
          <w:noProof/>
          <w:color w:val="003366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-364490</wp:posOffset>
            </wp:positionV>
            <wp:extent cx="2466975" cy="1819275"/>
            <wp:effectExtent l="19050" t="0" r="9525" b="0"/>
            <wp:wrapThrough wrapText="bothSides">
              <wp:wrapPolygon edited="0">
                <wp:start x="-167" y="0"/>
                <wp:lineTo x="-167" y="21487"/>
                <wp:lineTo x="21683" y="21487"/>
                <wp:lineTo x="21683" y="0"/>
                <wp:lineTo x="-167" y="0"/>
              </wp:wrapPolygon>
            </wp:wrapThrough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highlight w:val="yellow"/>
                <w:lang w:val="en-US"/>
              </w:rPr>
              <m:t>i</m:t>
            </m:r>
          </m:sub>
        </m:sSub>
        <m:r>
          <w:rPr>
            <w:rFonts w:ascii="Cambria Math" w:hAnsi="Cambria Math"/>
            <w:highlight w:val="yellow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Pr>
          <m:e>
            <m:r>
              <w:rPr>
                <w:rFonts w:ascii="Cambria Math" w:hAnsi="Cambria Math"/>
                <w:i/>
                <w:highlight w:val="yellow"/>
                <w:lang w:val="en-US"/>
              </w:rPr>
              <w:sym w:font="Symbol" w:char="F061"/>
            </m:r>
          </m:e>
          <m:sub>
            <m:r>
              <w:rPr>
                <w:rFonts w:ascii="Cambria Math" w:hAnsi="Cambria Math"/>
                <w:highlight w:val="yellow"/>
                <w:lang w:val="en-US"/>
              </w:rPr>
              <m:t>i</m:t>
            </m:r>
          </m:sub>
        </m:sSub>
        <m:r>
          <w:rPr>
            <w:rFonts w:ascii="Cambria Math" w:hAnsi="Cambria Math"/>
            <w:highlight w:val="yellow"/>
            <w:lang w:val="en-US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highlight w:val="yellow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b/>
                <w:i/>
                <w:highlight w:val="yellow"/>
                <w:lang w:val="en-US"/>
              </w:rPr>
              <w:sym w:font="Symbol" w:char="F062"/>
            </m:r>
          </m:e>
          <m:sub>
            <m:r>
              <m:rPr>
                <m:sty m:val="bi"/>
              </m:rPr>
              <w:rPr>
                <w:rFonts w:ascii="Cambria Math" w:hAnsi="Cambria Math"/>
                <w:highlight w:val="yellow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highlight w:val="yellow"/>
            <w:lang w:val="en-US"/>
          </w:rPr>
          <m:t>.</m:t>
        </m:r>
        <m:sSub>
          <m:sSubPr>
            <m:ctrlPr>
              <w:rPr>
                <w:rFonts w:ascii="Cambria Math" w:hAnsi="Cambria Math"/>
                <w:b/>
                <w:i/>
                <w:highlight w:val="yellow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highlight w:val="yellow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highlight w:val="yellow"/>
                <w:lang w:val="en-US"/>
              </w:rPr>
              <m:t>M</m:t>
            </m:r>
          </m:sub>
        </m:sSub>
        <m:r>
          <w:rPr>
            <w:rFonts w:ascii="Cambria Math" w:hAnsi="Cambria Math"/>
            <w:highlight w:val="yellow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highlight w:val="yellow"/>
                <w:lang w:val="en-US"/>
              </w:rPr>
              <m:t>i</m:t>
            </m:r>
          </m:sub>
        </m:sSub>
      </m:oMath>
    </w:p>
    <w:p w:rsidR="00921378" w:rsidRDefault="00921378">
      <w:pPr>
        <w:rPr>
          <w:lang w:val="en-US"/>
        </w:rPr>
      </w:pPr>
    </w:p>
    <w:p w:rsidR="00921378" w:rsidRDefault="00CB7930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en-US"/>
            </w:rPr>
            <m:t>+(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62"/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en-US"/>
            </w:rPr>
            <m:t>)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.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A6347D" w:rsidRDefault="00A6347D">
      <w:pPr>
        <w:rPr>
          <w:lang w:val="en-US"/>
        </w:rPr>
      </w:pPr>
    </w:p>
    <w:p w:rsidR="00781AF9" w:rsidRDefault="00CB7930">
      <w:pPr>
        <w:rPr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SupPr>
          <m:e>
            <m:r>
              <w:rPr>
                <w:rFonts w:ascii="Cambria Math" w:hAnsi="Cambria Math"/>
                <w:i/>
                <w:highlight w:val="yellow"/>
                <w:lang w:val="en-US"/>
              </w:rPr>
              <w:sym w:font="Symbol" w:char="F073"/>
            </m:r>
          </m:e>
          <m:sub>
            <m:r>
              <w:rPr>
                <w:rFonts w:ascii="Cambria Math" w:hAnsi="Cambria Math"/>
                <w:highlight w:val="yellow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highlight w:val="yellow"/>
                <w:lang w:val="en-US"/>
              </w:rPr>
              <m:t>2</m:t>
            </m:r>
          </m:sup>
        </m:sSubSup>
        <m:r>
          <w:rPr>
            <w:rFonts w:ascii="Cambria Math" w:hAnsi="Cambria Math"/>
            <w:highlight w:val="yellow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SupPr>
          <m:e>
            <m:r>
              <w:rPr>
                <w:rFonts w:ascii="Cambria Math" w:hAnsi="Cambria Math"/>
                <w:i/>
                <w:highlight w:val="yellow"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/>
                <w:highlight w:val="yellow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highlight w:val="yellow"/>
                <w:lang w:val="en-US"/>
              </w:rPr>
              <m:t>2</m:t>
            </m:r>
          </m:sup>
        </m:sSubSup>
        <m:r>
          <w:rPr>
            <w:rFonts w:ascii="Cambria Math" w:hAnsi="Cambria Math"/>
            <w:highlight w:val="yellow"/>
            <w:lang w:val="en-US"/>
          </w:rPr>
          <m:t>.</m:t>
        </m:r>
        <m:sSubSup>
          <m:sSubSup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SupPr>
          <m:e>
            <m:r>
              <w:rPr>
                <w:rFonts w:ascii="Cambria Math" w:hAnsi="Cambria Math"/>
                <w:i/>
                <w:highlight w:val="yellow"/>
                <w:lang w:val="en-US"/>
              </w:rPr>
              <w:sym w:font="Symbol" w:char="F073"/>
            </m:r>
          </m:e>
          <m:sub>
            <m:r>
              <w:rPr>
                <w:rFonts w:ascii="Cambria Math" w:hAnsi="Cambria Math"/>
                <w:highlight w:val="yellow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highlight w:val="yellow"/>
                <w:lang w:val="en-US"/>
              </w:rPr>
              <m:t>2</m:t>
            </m:r>
          </m:sup>
        </m:sSubSup>
        <m:r>
          <w:rPr>
            <w:rFonts w:ascii="Cambria Math" w:hAnsi="Cambria Math"/>
            <w:highlight w:val="yellow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highlight w:val="yellow"/>
                <w:lang w:val="en-US"/>
              </w:rPr>
            </m:ctrlPr>
          </m:sSubSupPr>
          <m:e>
            <m:r>
              <w:rPr>
                <w:rFonts w:ascii="Cambria Math" w:hAnsi="Cambria Math"/>
                <w:i/>
                <w:highlight w:val="yellow"/>
                <w:lang w:val="en-US"/>
              </w:rPr>
              <w:sym w:font="Symbol" w:char="F073"/>
            </m:r>
          </m:e>
          <m:sub>
            <m:d>
              <m:dPr>
                <m:ctrlPr>
                  <w:rPr>
                    <w:rFonts w:ascii="Cambria Math" w:hAnsi="Cambria Math"/>
                    <w:i/>
                    <w:highlight w:val="yellow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highlight w:val="yellow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p</m:t>
                    </m:r>
                  </m:sub>
                </m:sSub>
              </m:e>
            </m:d>
          </m:sub>
          <m:sup>
            <m:r>
              <w:rPr>
                <w:rFonts w:ascii="Cambria Math" w:hAnsi="Cambria Math"/>
                <w:highlight w:val="yellow"/>
                <w:lang w:val="en-US"/>
              </w:rPr>
              <m:t>2</m:t>
            </m:r>
          </m:sup>
        </m:sSubSup>
      </m:oMath>
      <w:r w:rsidR="00921378">
        <w:rPr>
          <w:lang w:val="en-US"/>
        </w:rPr>
        <w:t xml:space="preserve"> </w:t>
      </w:r>
      <w:r w:rsidR="00921378">
        <w:rPr>
          <w:lang w:val="en-US"/>
        </w:rPr>
        <w:tab/>
        <w:t xml:space="preserve"> With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lang w:val="en-US"/>
                  </w:rPr>
                  <w:sym w:font="Symbol" w:char="F062"/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</w:p>
    <w:p w:rsidR="00781AF9" w:rsidRDefault="00781AF9">
      <w:pPr>
        <w:rPr>
          <w:lang w:val="en-US"/>
        </w:rPr>
      </w:pPr>
    </w:p>
    <w:p w:rsidR="00781AF9" w:rsidRDefault="00781AF9">
      <w:pPr>
        <w:rPr>
          <w:lang w:val="en-US"/>
        </w:rPr>
      </w:pPr>
      <w:r>
        <w:rPr>
          <w:lang w:val="en-US"/>
        </w:rPr>
        <w:t>Problem: it doesn’t explain the origin of the return, being that factors are included in an average.</w:t>
      </w:r>
    </w:p>
    <w:p w:rsidR="00781AF9" w:rsidRDefault="00781AF9" w:rsidP="00751489">
      <w:pPr>
        <w:pStyle w:val="Heading2"/>
      </w:pPr>
      <w:r>
        <w:t xml:space="preserve">The </w:t>
      </w:r>
      <w:proofErr w:type="spellStart"/>
      <w:r>
        <w:t>multifactor</w:t>
      </w:r>
      <w:proofErr w:type="spellEnd"/>
      <w:r>
        <w:t xml:space="preserve"> model</w:t>
      </w:r>
    </w:p>
    <w:p w:rsidR="00781AF9" w:rsidRPr="00781AF9" w:rsidRDefault="00781AF9">
      <w:pPr>
        <w:rPr>
          <w:rFonts w:ascii="Times New Roman" w:hAnsi="Times New Roman" w:cs="Arial"/>
          <w:lang w:val="en-US"/>
        </w:rPr>
      </w:pPr>
      <w:r w:rsidRPr="00781AF9">
        <w:rPr>
          <w:rFonts w:ascii="Times New Roman" w:hAnsi="Times New Roman" w:cs="Arial"/>
          <w:lang w:val="en-US"/>
        </w:rPr>
        <w:t>Supposing that the two main macroeconomics sources of risk are GDP and IR:</w:t>
      </w:r>
    </w:p>
    <w:p w:rsidR="00781AF9" w:rsidRDefault="00CB7930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highlight w:val="yellow"/>
              <w:lang w:val="en-US"/>
            </w:rPr>
            <m:t>=</m:t>
          </m:r>
          <m:r>
            <w:rPr>
              <w:rFonts w:ascii="Cambria Math" w:hAnsi="Cambria Math"/>
              <w:i/>
              <w:highlight w:val="yellow"/>
              <w:lang w:val="en-US"/>
            </w:rPr>
            <w:sym w:font="Symbol" w:char="F061"/>
          </m:r>
          <m:r>
            <w:rPr>
              <w:rFonts w:ascii="Cambria Math" w:hAnsi="Cambria Math"/>
              <w:highlight w:val="yellow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highlight w:val="yellow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highlight w:val="yellow"/>
                  <w:lang w:val="en-US"/>
                </w:rPr>
                <w:sym w:font="Symbol" w:char="F062"/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n-US"/>
                </w:rPr>
                <m:t>GDP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yellow"/>
              <w:lang w:val="en-US"/>
            </w:rPr>
            <m:t>.GD</m:t>
          </m:r>
          <m:sSub>
            <m:sSubPr>
              <m:ctrlPr>
                <w:rPr>
                  <w:rFonts w:ascii="Cambria Math" w:hAnsi="Cambria Math"/>
                  <w:b/>
                  <w:i/>
                  <w:highlight w:val="yellow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yellow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highlight w:val="yellow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highlight w:val="yellow"/>
                  <w:lang w:val="en-US"/>
                </w:rPr>
                <w:sym w:font="Symbol" w:char="F062"/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n-US"/>
                </w:rPr>
                <m:t>IR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yellow"/>
              <w:lang w:val="en-US"/>
            </w:rPr>
            <m:t>.I</m:t>
          </m:r>
          <m:sSub>
            <m:sSubPr>
              <m:ctrlPr>
                <w:rPr>
                  <w:rFonts w:ascii="Cambria Math" w:hAnsi="Cambria Math"/>
                  <w:b/>
                  <w:i/>
                  <w:highlight w:val="yellow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highlight w:val="yellow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highlight w:val="yellow"/>
                  <w:lang w:val="en-US"/>
                </w:rPr>
                <m:t>t</m:t>
              </m:r>
            </m:sub>
          </m:sSub>
        </m:oMath>
      </m:oMathPara>
    </w:p>
    <w:p w:rsidR="00781AF9" w:rsidRDefault="00781AF9">
      <w:pPr>
        <w:rPr>
          <w:lang w:val="en-US"/>
        </w:rPr>
      </w:pPr>
    </w:p>
    <w:p w:rsidR="00781AF9" w:rsidRDefault="00781AF9">
      <w:pPr>
        <w:rPr>
          <w:lang w:val="en-US"/>
        </w:rPr>
      </w:pPr>
      <w:r>
        <w:rPr>
          <w:lang w:val="en-US"/>
        </w:rPr>
        <w:t>Advantage: Multifactor models can provide better descriptions of returns</w:t>
      </w:r>
    </w:p>
    <w:p w:rsidR="00781AF9" w:rsidRDefault="00781AF9">
      <w:pPr>
        <w:rPr>
          <w:lang w:val="en-US"/>
        </w:rPr>
      </w:pPr>
    </w:p>
    <w:p w:rsidR="00781AF9" w:rsidRDefault="000C7348">
      <w:pPr>
        <w:rPr>
          <w:lang w:val="en-US"/>
        </w:rPr>
      </w:pPr>
      <w:r>
        <w:rPr>
          <w:lang w:val="en-US"/>
        </w:rPr>
        <w:t>Difference between “FAMA” and “Multifactor” models:</w:t>
      </w:r>
    </w:p>
    <w:p w:rsidR="000C7348" w:rsidRDefault="000C7348">
      <w:pPr>
        <w:rPr>
          <w:lang w:val="en-US"/>
        </w:rPr>
      </w:pPr>
      <w:r>
        <w:rPr>
          <w:lang w:val="en-US"/>
        </w:rPr>
        <w:tab/>
      </w:r>
      <w:r>
        <w:rPr>
          <w:rFonts w:ascii="Symbol" w:hAnsi="Symbol"/>
          <w:lang w:val="en-US"/>
        </w:rPr>
        <w:t></w:t>
      </w:r>
      <w:r>
        <w:rPr>
          <w:lang w:val="en-US"/>
        </w:rPr>
        <w:t xml:space="preserve"> FAMA: we use factors linked to the firm</w:t>
      </w:r>
    </w:p>
    <w:p w:rsidR="000C7348" w:rsidRDefault="000C7348">
      <w:pPr>
        <w:rPr>
          <w:lang w:val="en-US"/>
        </w:rPr>
      </w:pPr>
      <w:r>
        <w:rPr>
          <w:lang w:val="en-US"/>
        </w:rPr>
        <w:tab/>
      </w:r>
      <w:r>
        <w:rPr>
          <w:rFonts w:ascii="Symbol" w:hAnsi="Symbol"/>
          <w:lang w:val="en-US"/>
        </w:rPr>
        <w:t></w:t>
      </w:r>
      <w:r>
        <w:rPr>
          <w:lang w:val="en-US"/>
        </w:rPr>
        <w:t xml:space="preserve"> Multifactor: we use macroeconomic factors</w:t>
      </w:r>
    </w:p>
    <w:p w:rsidR="001E5A75" w:rsidRDefault="001E5A75">
      <w:pPr>
        <w:rPr>
          <w:lang w:val="en-US"/>
        </w:rPr>
      </w:pPr>
    </w:p>
    <w:p w:rsidR="001E5A75" w:rsidRPr="001E5A75" w:rsidRDefault="001E5A75">
      <w:pPr>
        <w:rPr>
          <w:b/>
          <w:lang w:val="en-US"/>
        </w:rPr>
      </w:pPr>
      <w:r w:rsidRPr="001E5A75">
        <w:rPr>
          <w:b/>
          <w:lang w:val="en-US"/>
        </w:rPr>
        <w:t>Diversification:</w:t>
      </w:r>
    </w:p>
    <w:p w:rsidR="001E5A75" w:rsidRPr="001E5A75" w:rsidRDefault="001E5A75">
      <w:r>
        <w:rPr>
          <w:lang w:val="en-US"/>
        </w:rPr>
        <w:tab/>
      </w:r>
      <w:r>
        <w:rPr>
          <w:rFonts w:ascii="Symbol" w:hAnsi="Symbol"/>
          <w:lang w:val="en-US"/>
        </w:rPr>
        <w:t></w:t>
      </w:r>
      <w:r w:rsidRPr="001E5A75">
        <w:t xml:space="preserve"> Avec 10 titres différents, on obtient une réduction du risqué de l’ordre de 80% à 85% de la réduction maximale réalisable</w:t>
      </w:r>
    </w:p>
    <w:p w:rsidR="00781AF9" w:rsidRPr="001E5A75" w:rsidRDefault="001E5A75">
      <w:r>
        <w:lastRenderedPageBreak/>
        <w:tab/>
      </w:r>
      <w:r>
        <w:rPr>
          <w:rFonts w:ascii="Symbol" w:hAnsi="Symbol"/>
        </w:rPr>
        <w:t></w:t>
      </w:r>
      <w:r>
        <w:t xml:space="preserve"> Avec 15 titres, </w:t>
      </w:r>
      <w:r w:rsidRPr="001E5A75">
        <w:t xml:space="preserve"> on obtient une réduction du risqué de l’ordre de </w:t>
      </w:r>
      <w:r>
        <w:t>9</w:t>
      </w:r>
      <w:r w:rsidRPr="001E5A75">
        <w:t>5% de la réduction maximale réalisable</w:t>
      </w:r>
      <w:r>
        <w:t xml:space="preserve"> et 98% avec 20 titres</w:t>
      </w:r>
    </w:p>
    <w:sectPr w:rsidR="00781AF9" w:rsidRPr="001E5A75" w:rsidSect="00CB793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"/>
      </v:shape>
    </w:pict>
  </w:numPicBullet>
  <w:abstractNum w:abstractNumId="0">
    <w:nsid w:val="31BF28E7"/>
    <w:multiLevelType w:val="multilevel"/>
    <w:tmpl w:val="4DF4F42E"/>
    <w:lvl w:ilvl="0">
      <w:start w:val="1"/>
      <w:numFmt w:val="upperRoman"/>
      <w:pStyle w:val="Title"/>
      <w:lvlText w:val="PARTIE %1.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decimal"/>
      <w:lvlText w:val="Chapitre %2."/>
      <w:lvlJc w:val="left"/>
      <w:pPr>
        <w:tabs>
          <w:tab w:val="num" w:pos="1305"/>
        </w:tabs>
        <w:ind w:left="851" w:firstLine="0"/>
      </w:pPr>
      <w:rPr>
        <w:rFonts w:hint="default"/>
      </w:rPr>
    </w:lvl>
    <w:lvl w:ilvl="2">
      <w:start w:val="1"/>
      <w:numFmt w:val="upperRoman"/>
      <w:lvlText w:val="%3 -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3">
      <w:start w:val="1"/>
      <w:numFmt w:val="upperLetter"/>
      <w:pStyle w:val="Heading2"/>
      <w:lvlText w:val="%4."/>
      <w:lvlJc w:val="left"/>
      <w:pPr>
        <w:tabs>
          <w:tab w:val="num" w:pos="567"/>
        </w:tabs>
        <w:ind w:left="1134" w:hanging="567"/>
      </w:pPr>
      <w:rPr>
        <w:rFonts w:hint="default"/>
        <w:color w:val="003366"/>
      </w:rPr>
    </w:lvl>
    <w:lvl w:ilvl="4">
      <w:start w:val="1"/>
      <w:numFmt w:val="decimal"/>
      <w:pStyle w:val="Heading3"/>
      <w:lvlText w:val="%5) "/>
      <w:lvlJc w:val="left"/>
      <w:pPr>
        <w:tabs>
          <w:tab w:val="num" w:pos="567"/>
        </w:tabs>
        <w:ind w:left="1701" w:hanging="567"/>
      </w:pPr>
      <w:rPr>
        <w:rFonts w:hint="default"/>
        <w:color w:val="006300"/>
      </w:rPr>
    </w:lvl>
    <w:lvl w:ilvl="5">
      <w:start w:val="1"/>
      <w:numFmt w:val="bullet"/>
      <w:pStyle w:val="Heading4"/>
      <w:lvlText w:val=""/>
      <w:lvlPicBulletId w:val="0"/>
      <w:lvlJc w:val="left"/>
      <w:pPr>
        <w:tabs>
          <w:tab w:val="num" w:pos="567"/>
        </w:tabs>
        <w:ind w:left="2268" w:hanging="567"/>
      </w:pPr>
      <w:rPr>
        <w:rFonts w:ascii="Symbol" w:hAnsi="Symbol" w:hint="default"/>
        <w:color w:val="auto"/>
      </w:rPr>
    </w:lvl>
    <w:lvl w:ilvl="6">
      <w:start w:val="1"/>
      <w:numFmt w:val="bullet"/>
      <w:pStyle w:val="Heading5"/>
      <w:lvlText w:val=""/>
      <w:lvlJc w:val="left"/>
      <w:pPr>
        <w:tabs>
          <w:tab w:val="num" w:pos="567"/>
        </w:tabs>
        <w:ind w:left="2552" w:hanging="567"/>
      </w:pPr>
      <w:rPr>
        <w:rFonts w:ascii="Wingdings" w:hAnsi="Wingdings" w:hint="default"/>
      </w:rPr>
    </w:lvl>
    <w:lvl w:ilvl="7">
      <w:start w:val="1"/>
      <w:numFmt w:val="bullet"/>
      <w:pStyle w:val="Heading6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8DA"/>
    <w:rsid w:val="000C7348"/>
    <w:rsid w:val="000D24CA"/>
    <w:rsid w:val="0015538E"/>
    <w:rsid w:val="001768DA"/>
    <w:rsid w:val="001B5DDB"/>
    <w:rsid w:val="001E2F03"/>
    <w:rsid w:val="001E5A75"/>
    <w:rsid w:val="002159A8"/>
    <w:rsid w:val="00285226"/>
    <w:rsid w:val="002E500E"/>
    <w:rsid w:val="002E698F"/>
    <w:rsid w:val="00371E8A"/>
    <w:rsid w:val="003D0BFC"/>
    <w:rsid w:val="00422F73"/>
    <w:rsid w:val="004622A1"/>
    <w:rsid w:val="00481ACB"/>
    <w:rsid w:val="004B411E"/>
    <w:rsid w:val="004D0FF9"/>
    <w:rsid w:val="004D2867"/>
    <w:rsid w:val="004E4D65"/>
    <w:rsid w:val="004F72AF"/>
    <w:rsid w:val="005A5165"/>
    <w:rsid w:val="005B3326"/>
    <w:rsid w:val="005F3D5E"/>
    <w:rsid w:val="00604B65"/>
    <w:rsid w:val="00606CA1"/>
    <w:rsid w:val="006212E8"/>
    <w:rsid w:val="00640120"/>
    <w:rsid w:val="006F70C0"/>
    <w:rsid w:val="00733E4C"/>
    <w:rsid w:val="00751489"/>
    <w:rsid w:val="00774F87"/>
    <w:rsid w:val="00781AF9"/>
    <w:rsid w:val="007A09C2"/>
    <w:rsid w:val="00852C3A"/>
    <w:rsid w:val="008D2EE2"/>
    <w:rsid w:val="009124F9"/>
    <w:rsid w:val="00921378"/>
    <w:rsid w:val="0093062A"/>
    <w:rsid w:val="00940900"/>
    <w:rsid w:val="009C50D5"/>
    <w:rsid w:val="009D125F"/>
    <w:rsid w:val="009E21E6"/>
    <w:rsid w:val="00A3244B"/>
    <w:rsid w:val="00A6347D"/>
    <w:rsid w:val="00A66E8F"/>
    <w:rsid w:val="00AB4C31"/>
    <w:rsid w:val="00AC75C4"/>
    <w:rsid w:val="00B21FAB"/>
    <w:rsid w:val="00B30FF4"/>
    <w:rsid w:val="00B65DDE"/>
    <w:rsid w:val="00CB7930"/>
    <w:rsid w:val="00CD44CB"/>
    <w:rsid w:val="00D740AB"/>
    <w:rsid w:val="00DD2615"/>
    <w:rsid w:val="00E77CD2"/>
    <w:rsid w:val="00F00A50"/>
    <w:rsid w:val="00F03738"/>
    <w:rsid w:val="00F53E0D"/>
    <w:rsid w:val="00F84CBF"/>
    <w:rsid w:val="00F916DC"/>
    <w:rsid w:val="00FC03B6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0D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7930"/>
    <w:pPr>
      <w:keepNext/>
      <w:spacing w:before="360" w:after="360"/>
      <w:jc w:val="left"/>
      <w:outlineLvl w:val="0"/>
    </w:pPr>
    <w:rPr>
      <w:rFonts w:ascii="Times New Roman" w:hAnsi="Times New Roman" w:cs="Arial"/>
      <w:b/>
      <w:bCs/>
      <w:smallCaps/>
      <w:color w:val="FF0000"/>
      <w:kern w:val="32"/>
      <w:sz w:val="3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F53E0D"/>
    <w:pPr>
      <w:keepNext/>
      <w:numPr>
        <w:ilvl w:val="3"/>
        <w:numId w:val="7"/>
      </w:numPr>
      <w:spacing w:before="240" w:after="240"/>
      <w:outlineLvl w:val="1"/>
    </w:pPr>
    <w:rPr>
      <w:rFonts w:cs="Arial"/>
      <w:b/>
      <w:bCs/>
      <w:i/>
      <w:iCs/>
      <w:smallCaps/>
      <w:shadow/>
      <w:color w:val="003366"/>
      <w:sz w:val="30"/>
      <w:szCs w:val="30"/>
    </w:rPr>
  </w:style>
  <w:style w:type="paragraph" w:styleId="Heading3">
    <w:name w:val="heading 3"/>
    <w:basedOn w:val="Heading2"/>
    <w:next w:val="Normal"/>
    <w:link w:val="Heading3Char"/>
    <w:autoRedefine/>
    <w:qFormat/>
    <w:rsid w:val="00F53E0D"/>
    <w:pPr>
      <w:numPr>
        <w:ilvl w:val="4"/>
      </w:numPr>
      <w:outlineLvl w:val="2"/>
    </w:pPr>
    <w:rPr>
      <w:smallCaps w:val="0"/>
      <w:shadow w:val="0"/>
      <w:color w:val="006300"/>
      <w:kern w:val="32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F53E0D"/>
    <w:pPr>
      <w:keepNext/>
      <w:numPr>
        <w:ilvl w:val="5"/>
        <w:numId w:val="7"/>
      </w:numPr>
      <w:spacing w:before="240" w:after="120"/>
      <w:outlineLvl w:val="3"/>
    </w:pPr>
    <w:rPr>
      <w:b/>
      <w:bCs/>
      <w:shadow/>
      <w:color w:val="000080"/>
    </w:rPr>
  </w:style>
  <w:style w:type="paragraph" w:styleId="Heading5">
    <w:name w:val="heading 5"/>
    <w:basedOn w:val="Normal"/>
    <w:next w:val="Normal"/>
    <w:link w:val="Heading5Char"/>
    <w:autoRedefine/>
    <w:qFormat/>
    <w:rsid w:val="00F53E0D"/>
    <w:pPr>
      <w:numPr>
        <w:ilvl w:val="6"/>
        <w:numId w:val="7"/>
      </w:numPr>
      <w:spacing w:before="120" w:after="120"/>
      <w:jc w:val="left"/>
      <w:outlineLvl w:val="4"/>
    </w:pPr>
    <w:rPr>
      <w:b/>
      <w:bCs/>
      <w:iCs/>
      <w:color w:val="984806"/>
    </w:rPr>
  </w:style>
  <w:style w:type="paragraph" w:styleId="Heading6">
    <w:name w:val="heading 6"/>
    <w:basedOn w:val="Normal"/>
    <w:next w:val="Normal"/>
    <w:link w:val="Heading6Char"/>
    <w:qFormat/>
    <w:rsid w:val="00F53E0D"/>
    <w:pPr>
      <w:numPr>
        <w:ilvl w:val="7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53E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E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53E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930"/>
    <w:rPr>
      <w:rFonts w:cs="Arial"/>
      <w:b/>
      <w:bCs/>
      <w:smallCaps/>
      <w:color w:val="FF0000"/>
      <w:kern w:val="32"/>
      <w:sz w:val="3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03738"/>
    <w:rPr>
      <w:rFonts w:ascii="Calibri" w:hAnsi="Calibri" w:cs="Arial"/>
      <w:b/>
      <w:bCs/>
      <w:i/>
      <w:iCs/>
      <w:smallCaps/>
      <w:shadow/>
      <w:color w:val="003366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03738"/>
    <w:rPr>
      <w:rFonts w:ascii="Calibri" w:hAnsi="Calibri" w:cs="Arial"/>
      <w:b/>
      <w:bCs/>
      <w:i/>
      <w:iCs/>
      <w:color w:val="006300"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53E0D"/>
    <w:rPr>
      <w:rFonts w:ascii="Calibri" w:hAnsi="Calibri"/>
      <w:b/>
      <w:bCs/>
      <w:shadow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3738"/>
    <w:rPr>
      <w:rFonts w:ascii="Calibri" w:hAnsi="Calibri"/>
      <w:b/>
      <w:bCs/>
      <w:iCs/>
      <w:color w:val="984806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03738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03738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3738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373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F03738"/>
    <w:rPr>
      <w:b/>
      <w:bCs/>
      <w:sz w:val="20"/>
      <w:szCs w:val="20"/>
    </w:rPr>
  </w:style>
  <w:style w:type="paragraph" w:styleId="Title">
    <w:name w:val="Title"/>
    <w:basedOn w:val="Normal"/>
    <w:link w:val="TitleChar"/>
    <w:autoRedefine/>
    <w:qFormat/>
    <w:rsid w:val="00F53E0D"/>
    <w:pPr>
      <w:numPr>
        <w:numId w:val="7"/>
      </w:numPr>
      <w:pBdr>
        <w:top w:val="double" w:sz="4" w:space="1" w:color="800000" w:shadow="1"/>
        <w:left w:val="double" w:sz="4" w:space="4" w:color="800000" w:shadow="1"/>
        <w:bottom w:val="double" w:sz="4" w:space="1" w:color="800000" w:shadow="1"/>
        <w:right w:val="double" w:sz="4" w:space="4" w:color="800000" w:shadow="1"/>
      </w:pBdr>
      <w:spacing w:after="280"/>
      <w:jc w:val="left"/>
      <w:outlineLvl w:val="0"/>
    </w:pPr>
    <w:rPr>
      <w:rFonts w:cs="Arial"/>
      <w:b/>
      <w:bCs/>
      <w:smallCaps/>
      <w:color w:val="800000"/>
      <w:kern w:val="28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F53E0D"/>
    <w:rPr>
      <w:rFonts w:ascii="Calibri" w:hAnsi="Calibri" w:cs="Arial"/>
      <w:b/>
      <w:bCs/>
      <w:smallCaps/>
      <w:color w:val="800000"/>
      <w:kern w:val="28"/>
      <w:sz w:val="34"/>
      <w:szCs w:val="34"/>
    </w:rPr>
  </w:style>
  <w:style w:type="paragraph" w:styleId="Subtitle">
    <w:name w:val="Subtitle"/>
    <w:basedOn w:val="Normal"/>
    <w:link w:val="SubtitleChar"/>
    <w:qFormat/>
    <w:rsid w:val="00F53E0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53E0D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F53E0D"/>
    <w:rPr>
      <w:b/>
      <w:bCs/>
    </w:rPr>
  </w:style>
  <w:style w:type="character" w:styleId="Emphasis">
    <w:name w:val="Emphasis"/>
    <w:basedOn w:val="DefaultParagraphFont"/>
    <w:qFormat/>
    <w:rsid w:val="00F53E0D"/>
    <w:rPr>
      <w:i/>
      <w:iCs/>
    </w:rPr>
  </w:style>
  <w:style w:type="paragraph" w:styleId="NoSpacing">
    <w:name w:val="No Spacing"/>
    <w:uiPriority w:val="1"/>
    <w:qFormat/>
    <w:rsid w:val="00F53E0D"/>
    <w:pPr>
      <w:jc w:val="both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E0D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F53E0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53E0D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E0D"/>
    <w:pPr>
      <w:keepLines/>
      <w:spacing w:before="480" w:after="0" w:line="276" w:lineRule="auto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3D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4D8B-25D0-4D5C-9331-8C8E1A71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27</cp:revision>
  <cp:lastPrinted>2008-10-22T10:10:00Z</cp:lastPrinted>
  <dcterms:created xsi:type="dcterms:W3CDTF">2008-10-21T19:40:00Z</dcterms:created>
  <dcterms:modified xsi:type="dcterms:W3CDTF">2015-09-05T13:40:00Z</dcterms:modified>
</cp:coreProperties>
</file>