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9" w:rsidRPr="00020A98" w:rsidRDefault="008532D9">
      <w:pPr>
        <w:pStyle w:val="Title"/>
        <w:rPr>
          <w:rFonts w:ascii="Garamond" w:hAnsi="Garamond"/>
          <w:sz w:val="32"/>
        </w:rPr>
      </w:pPr>
      <w:r w:rsidRPr="00020A98">
        <w:rPr>
          <w:rFonts w:ascii="Garamond" w:hAnsi="Garamond"/>
          <w:sz w:val="32"/>
        </w:rPr>
        <w:t>Portfolio 2</w:t>
      </w:r>
    </w:p>
    <w:p w:rsidR="008532D9" w:rsidRPr="00020A98" w:rsidRDefault="001221C4">
      <w:pPr>
        <w:pStyle w:val="Subtitle"/>
        <w:rPr>
          <w:rFonts w:ascii="Garamond" w:hAnsi="Garamond"/>
        </w:rPr>
      </w:pPr>
      <w:r>
        <w:rPr>
          <w:rFonts w:ascii="Garamond" w:hAnsi="Garamond"/>
        </w:rPr>
        <w:t xml:space="preserve">Exercices + </w:t>
      </w:r>
      <w:r w:rsidR="008532D9" w:rsidRPr="00020A98">
        <w:rPr>
          <w:rFonts w:ascii="Garamond" w:hAnsi="Garamond"/>
        </w:rPr>
        <w:t>Correction</w:t>
      </w: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pStyle w:val="Heading2"/>
        <w:rPr>
          <w:rFonts w:ascii="Garamond" w:hAnsi="Garamond"/>
        </w:rPr>
      </w:pPr>
      <w:r w:rsidRPr="00020A98">
        <w:rPr>
          <w:rFonts w:ascii="Garamond" w:hAnsi="Garamond"/>
        </w:rPr>
        <w:t>Cours 1 Definition des prix futurs</w:t>
      </w: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pStyle w:val="Heading1"/>
        <w:numPr>
          <w:ilvl w:val="0"/>
          <w:numId w:val="3"/>
        </w:numPr>
        <w:rPr>
          <w:rFonts w:ascii="Garamond" w:hAnsi="Garamond"/>
          <w:sz w:val="22"/>
        </w:rPr>
      </w:pPr>
      <w:r w:rsidRPr="00020A98">
        <w:rPr>
          <w:rFonts w:ascii="Garamond" w:hAnsi="Garamond"/>
          <w:sz w:val="22"/>
        </w:rPr>
        <w:t>Question 1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  <w:r w:rsidRPr="00020A98">
        <w:rPr>
          <w:rFonts w:ascii="Garamond" w:hAnsi="Garamond"/>
          <w:b w:val="0"/>
          <w:caps w:val="0"/>
          <w:u w:val="none"/>
        </w:rPr>
        <w:t>Donner l’arbitrage cash and carry qui permet de démontrer le prix futur d’une action délivrant des dividendes connus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jc w:val="both"/>
        <w:rPr>
          <w:rFonts w:ascii="Garamond" w:hAnsi="Garamond"/>
          <w:b w:val="0"/>
          <w:caps w:val="0"/>
          <w:sz w:val="20"/>
          <w:u w:val="none"/>
        </w:rPr>
      </w:pPr>
      <w:r w:rsidRPr="00020A98">
        <w:rPr>
          <w:rFonts w:ascii="Garamond" w:hAnsi="Garamond"/>
          <w:b w:val="0"/>
          <w:caps w:val="0"/>
          <w:sz w:val="20"/>
          <w:u w:val="none"/>
        </w:rPr>
        <w:t>Par le même résonnement, sachant que le propriétaire de l’action reçoit un dividende en t de valeur I et qu’il peut le placé sur le marché. Tandis que le vendeur du contrat ne reçoit pas ce dividende, on obtient la stratégie suivante :</w:t>
      </w:r>
    </w:p>
    <w:p w:rsidR="008532D9" w:rsidRPr="00020A98" w:rsidRDefault="008532D9">
      <w:pPr>
        <w:jc w:val="both"/>
        <w:rPr>
          <w:rFonts w:ascii="Garamond" w:hAnsi="Garamond"/>
          <w:b w:val="0"/>
          <w:caps w:val="0"/>
          <w:sz w:val="2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532D9" w:rsidRPr="00020A98">
        <w:tc>
          <w:tcPr>
            <w:tcW w:w="3070" w:type="dxa"/>
          </w:tcPr>
          <w:p w:rsidR="008532D9" w:rsidRPr="00020A98" w:rsidRDefault="008532D9">
            <w:pPr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</w:p>
        </w:tc>
        <w:tc>
          <w:tcPr>
            <w:tcW w:w="3070" w:type="dxa"/>
          </w:tcPr>
          <w:p w:rsidR="008532D9" w:rsidRPr="00020A98" w:rsidRDefault="008532D9">
            <w:pPr>
              <w:jc w:val="center"/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sz w:val="20"/>
                <w:u w:val="none"/>
              </w:rPr>
              <w:t>0</w:t>
            </w:r>
          </w:p>
        </w:tc>
        <w:tc>
          <w:tcPr>
            <w:tcW w:w="3070" w:type="dxa"/>
          </w:tcPr>
          <w:p w:rsidR="008532D9" w:rsidRPr="00020A98" w:rsidRDefault="008532D9">
            <w:pPr>
              <w:jc w:val="center"/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sz w:val="20"/>
                <w:u w:val="none"/>
              </w:rPr>
              <w:t>T</w:t>
            </w:r>
          </w:p>
        </w:tc>
      </w:tr>
      <w:tr w:rsidR="008532D9" w:rsidRPr="00020A98">
        <w:tc>
          <w:tcPr>
            <w:tcW w:w="3070" w:type="dxa"/>
          </w:tcPr>
          <w:p w:rsidR="008532D9" w:rsidRPr="00020A98" w:rsidRDefault="008532D9">
            <w:pPr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sz w:val="20"/>
                <w:u w:val="none"/>
              </w:rPr>
              <w:t>Achat de l’action</w:t>
            </w:r>
          </w:p>
        </w:tc>
        <w:tc>
          <w:tcPr>
            <w:tcW w:w="3070" w:type="dxa"/>
          </w:tcPr>
          <w:p w:rsidR="008532D9" w:rsidRPr="00020A98" w:rsidRDefault="008532D9">
            <w:pPr>
              <w:jc w:val="center"/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position w:val="-10"/>
                <w:sz w:val="20"/>
                <w:u w:val="none"/>
              </w:rPr>
              <w:object w:dxaOrig="3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pt" o:ole="" fillcolor="window">
                  <v:imagedata r:id="rId6" o:title=""/>
                </v:shape>
                <o:OLEObject Type="Embed" ProgID="Equation.3" ShapeID="_x0000_i1025" DrawAspect="Content" ObjectID="_1502972402" r:id="rId7"/>
              </w:object>
            </w:r>
          </w:p>
        </w:tc>
        <w:tc>
          <w:tcPr>
            <w:tcW w:w="3070" w:type="dxa"/>
          </w:tcPr>
          <w:p w:rsidR="008532D9" w:rsidRPr="00020A98" w:rsidRDefault="008532D9">
            <w:pPr>
              <w:jc w:val="center"/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position w:val="-10"/>
                <w:sz w:val="20"/>
                <w:u w:val="none"/>
              </w:rPr>
              <w:object w:dxaOrig="300" w:dyaOrig="300">
                <v:shape id="_x0000_i1026" type="#_x0000_t75" style="width:15pt;height:15pt" o:ole="" fillcolor="window">
                  <v:imagedata r:id="rId8" o:title=""/>
                </v:shape>
                <o:OLEObject Type="Embed" ProgID="Equation.3" ShapeID="_x0000_i1026" DrawAspect="Content" ObjectID="_1502972403" r:id="rId9"/>
              </w:object>
            </w:r>
            <w:r w:rsidRPr="00020A98">
              <w:rPr>
                <w:rFonts w:ascii="Garamond" w:hAnsi="Garamond"/>
                <w:b w:val="0"/>
                <w:caps w:val="0"/>
                <w:sz w:val="20"/>
                <w:u w:val="none"/>
              </w:rPr>
              <w:t>+</w:t>
            </w:r>
            <w:r w:rsidRPr="00020A98">
              <w:rPr>
                <w:rFonts w:ascii="Garamond" w:hAnsi="Garamond"/>
                <w:b w:val="0"/>
                <w:caps w:val="0"/>
                <w:position w:val="-6"/>
                <w:sz w:val="20"/>
                <w:u w:val="none"/>
              </w:rPr>
              <w:object w:dxaOrig="660" w:dyaOrig="300">
                <v:shape id="_x0000_i1027" type="#_x0000_t75" style="width:33pt;height:15pt" o:ole="" fillcolor="window">
                  <v:imagedata r:id="rId10" o:title=""/>
                </v:shape>
                <o:OLEObject Type="Embed" ProgID="Equation.3" ShapeID="_x0000_i1027" DrawAspect="Content" ObjectID="_1502972404" r:id="rId11"/>
              </w:object>
            </w:r>
          </w:p>
        </w:tc>
      </w:tr>
      <w:tr w:rsidR="008532D9" w:rsidRPr="00020A98">
        <w:tc>
          <w:tcPr>
            <w:tcW w:w="3070" w:type="dxa"/>
          </w:tcPr>
          <w:p w:rsidR="008532D9" w:rsidRPr="00020A98" w:rsidRDefault="008532D9">
            <w:pPr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sz w:val="20"/>
                <w:u w:val="none"/>
              </w:rPr>
              <w:t>Emprunt pour acheter l’action</w:t>
            </w:r>
          </w:p>
        </w:tc>
        <w:tc>
          <w:tcPr>
            <w:tcW w:w="3070" w:type="dxa"/>
          </w:tcPr>
          <w:p w:rsidR="008532D9" w:rsidRPr="00020A98" w:rsidRDefault="008532D9">
            <w:pPr>
              <w:jc w:val="center"/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position w:val="-10"/>
                <w:sz w:val="20"/>
                <w:u w:val="none"/>
              </w:rPr>
              <w:object w:dxaOrig="279" w:dyaOrig="300">
                <v:shape id="_x0000_i1028" type="#_x0000_t75" style="width:14.25pt;height:15pt" o:ole="" fillcolor="window">
                  <v:imagedata r:id="rId12" o:title=""/>
                </v:shape>
                <o:OLEObject Type="Embed" ProgID="Equation.3" ShapeID="_x0000_i1028" DrawAspect="Content" ObjectID="_1502972405" r:id="rId13"/>
              </w:object>
            </w:r>
          </w:p>
        </w:tc>
        <w:tc>
          <w:tcPr>
            <w:tcW w:w="3070" w:type="dxa"/>
          </w:tcPr>
          <w:p w:rsidR="008532D9" w:rsidRPr="00020A98" w:rsidRDefault="008532D9">
            <w:pPr>
              <w:jc w:val="center"/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position w:val="-10"/>
                <w:sz w:val="20"/>
                <w:u w:val="none"/>
              </w:rPr>
              <w:object w:dxaOrig="700" w:dyaOrig="340">
                <v:shape id="_x0000_i1029" type="#_x0000_t75" style="width:35.25pt;height:17.25pt" o:ole="" fillcolor="window">
                  <v:imagedata r:id="rId14" o:title=""/>
                </v:shape>
                <o:OLEObject Type="Embed" ProgID="Equation.3" ShapeID="_x0000_i1029" DrawAspect="Content" ObjectID="_1502972406" r:id="rId15"/>
              </w:object>
            </w:r>
          </w:p>
        </w:tc>
      </w:tr>
      <w:tr w:rsidR="008532D9" w:rsidRPr="00020A98">
        <w:tc>
          <w:tcPr>
            <w:tcW w:w="3070" w:type="dxa"/>
          </w:tcPr>
          <w:p w:rsidR="008532D9" w:rsidRPr="00020A98" w:rsidRDefault="008532D9">
            <w:pPr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sz w:val="20"/>
                <w:u w:val="none"/>
              </w:rPr>
              <w:t>Vente à terme et livraison du support</w:t>
            </w:r>
          </w:p>
        </w:tc>
        <w:tc>
          <w:tcPr>
            <w:tcW w:w="3070" w:type="dxa"/>
          </w:tcPr>
          <w:p w:rsidR="008532D9" w:rsidRPr="00020A98" w:rsidRDefault="008532D9">
            <w:pPr>
              <w:jc w:val="center"/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</w:p>
        </w:tc>
        <w:tc>
          <w:tcPr>
            <w:tcW w:w="3070" w:type="dxa"/>
          </w:tcPr>
          <w:p w:rsidR="008532D9" w:rsidRPr="00020A98" w:rsidRDefault="008532D9">
            <w:pPr>
              <w:jc w:val="center"/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sz w:val="20"/>
                <w:u w:val="none"/>
              </w:rPr>
              <w:t>K</w:t>
            </w:r>
            <w:r w:rsidRPr="00020A98">
              <w:rPr>
                <w:rFonts w:ascii="Garamond" w:hAnsi="Garamond"/>
                <w:b w:val="0"/>
                <w:caps w:val="0"/>
                <w:position w:val="-10"/>
                <w:sz w:val="20"/>
                <w:u w:val="none"/>
              </w:rPr>
              <w:object w:dxaOrig="400" w:dyaOrig="300">
                <v:shape id="_x0000_i1030" type="#_x0000_t75" style="width:20.25pt;height:15pt" o:ole="" fillcolor="window">
                  <v:imagedata r:id="rId16" o:title=""/>
                </v:shape>
                <o:OLEObject Type="Embed" ProgID="Equation.3" ShapeID="_x0000_i1030" DrawAspect="Content" ObjectID="_1502972407" r:id="rId17"/>
              </w:object>
            </w:r>
          </w:p>
        </w:tc>
      </w:tr>
      <w:tr w:rsidR="008532D9" w:rsidRPr="00020A98">
        <w:tc>
          <w:tcPr>
            <w:tcW w:w="3070" w:type="dxa"/>
          </w:tcPr>
          <w:p w:rsidR="008532D9" w:rsidRPr="00020A98" w:rsidRDefault="008532D9">
            <w:pPr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sz w:val="20"/>
                <w:u w:val="none"/>
              </w:rPr>
              <w:t>Flux net</w:t>
            </w:r>
          </w:p>
        </w:tc>
        <w:tc>
          <w:tcPr>
            <w:tcW w:w="3070" w:type="dxa"/>
          </w:tcPr>
          <w:p w:rsidR="008532D9" w:rsidRPr="00020A98" w:rsidRDefault="008532D9">
            <w:pPr>
              <w:jc w:val="center"/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sz w:val="20"/>
                <w:u w:val="none"/>
              </w:rPr>
              <w:t>0</w:t>
            </w:r>
          </w:p>
        </w:tc>
        <w:tc>
          <w:tcPr>
            <w:tcW w:w="3070" w:type="dxa"/>
          </w:tcPr>
          <w:p w:rsidR="008532D9" w:rsidRPr="00020A98" w:rsidRDefault="008532D9">
            <w:pPr>
              <w:jc w:val="center"/>
              <w:rPr>
                <w:rFonts w:ascii="Garamond" w:hAnsi="Garamond"/>
                <w:b w:val="0"/>
                <w:caps w:val="0"/>
                <w:sz w:val="20"/>
                <w:u w:val="none"/>
              </w:rPr>
            </w:pPr>
            <w:r w:rsidRPr="00020A98">
              <w:rPr>
                <w:rFonts w:ascii="Garamond" w:hAnsi="Garamond"/>
                <w:b w:val="0"/>
                <w:caps w:val="0"/>
                <w:sz w:val="20"/>
                <w:u w:val="none"/>
              </w:rPr>
              <w:t>0</w:t>
            </w:r>
          </w:p>
        </w:tc>
      </w:tr>
    </w:tbl>
    <w:p w:rsidR="008532D9" w:rsidRPr="00020A98" w:rsidRDefault="008532D9">
      <w:pPr>
        <w:rPr>
          <w:rFonts w:ascii="Garamond" w:hAnsi="Garamond"/>
          <w:b w:val="0"/>
          <w:caps w:val="0"/>
          <w:sz w:val="2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sz w:val="2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sz w:val="20"/>
          <w:u w:val="none"/>
        </w:rPr>
      </w:pPr>
    </w:p>
    <w:p w:rsidR="008532D9" w:rsidRPr="00020A98" w:rsidRDefault="0085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caps w:val="0"/>
          <w:sz w:val="20"/>
          <w:u w:val="none"/>
          <w:bdr w:val="single" w:sz="4" w:space="0" w:color="auto"/>
        </w:rPr>
      </w:pPr>
    </w:p>
    <w:p w:rsidR="008532D9" w:rsidRPr="00020A98" w:rsidRDefault="0085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caps w:val="0"/>
          <w:sz w:val="20"/>
          <w:u w:val="none"/>
        </w:rPr>
      </w:pPr>
      <w:r w:rsidRPr="00020A98">
        <w:rPr>
          <w:rFonts w:ascii="Garamond" w:hAnsi="Garamond"/>
          <w:caps w:val="0"/>
          <w:sz w:val="20"/>
          <w:u w:val="none"/>
        </w:rPr>
        <w:t>Prix à terme futur avec dividendes livré I=</w:t>
      </w:r>
      <w:r w:rsidRPr="00020A98">
        <w:rPr>
          <w:rFonts w:ascii="Garamond" w:hAnsi="Garamond"/>
          <w:caps w:val="0"/>
          <w:position w:val="-10"/>
          <w:sz w:val="20"/>
          <w:u w:val="none"/>
        </w:rPr>
        <w:object w:dxaOrig="1240" w:dyaOrig="340">
          <v:shape id="_x0000_i1031" type="#_x0000_t75" style="width:62.25pt;height:17.25pt" o:ole="" fillcolor="window">
            <v:imagedata r:id="rId18" o:title=""/>
          </v:shape>
          <o:OLEObject Type="Embed" ProgID="Equation.3" ShapeID="_x0000_i1031" DrawAspect="Content" ObjectID="_1502972408" r:id="rId19"/>
        </w:object>
      </w:r>
    </w:p>
    <w:p w:rsidR="008532D9" w:rsidRPr="00020A98" w:rsidRDefault="0085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 w:val="0"/>
          <w:caps w:val="0"/>
          <w:sz w:val="20"/>
          <w:u w:val="none"/>
        </w:rPr>
      </w:pPr>
      <w:r w:rsidRPr="00020A98">
        <w:rPr>
          <w:rFonts w:ascii="Garamond" w:hAnsi="Garamond"/>
          <w:b w:val="0"/>
          <w:caps w:val="0"/>
          <w:position w:val="-10"/>
          <w:sz w:val="20"/>
          <w:u w:val="none"/>
        </w:rPr>
        <w:object w:dxaOrig="160" w:dyaOrig="300">
          <v:shape id="_x0000_i1032" type="#_x0000_t75" style="width:8.25pt;height:15pt" o:ole="" fillcolor="window">
            <v:imagedata r:id="rId20" o:title=""/>
          </v:shape>
          <o:OLEObject Type="Embed" ProgID="Equation.3" ShapeID="_x0000_i1032" DrawAspect="Content" ObjectID="_1502972409" r:id="rId21"/>
        </w:object>
      </w:r>
    </w:p>
    <w:p w:rsidR="008532D9" w:rsidRPr="00020A98" w:rsidRDefault="008532D9">
      <w:pPr>
        <w:rPr>
          <w:rFonts w:ascii="Garamond" w:hAnsi="Garamond"/>
          <w:b w:val="0"/>
          <w:caps w:val="0"/>
          <w:sz w:val="2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pStyle w:val="Heading2"/>
        <w:rPr>
          <w:rFonts w:ascii="Garamond" w:hAnsi="Garamond"/>
        </w:rPr>
      </w:pPr>
      <w:r w:rsidRPr="00020A98">
        <w:rPr>
          <w:rFonts w:ascii="Garamond" w:hAnsi="Garamond"/>
        </w:rPr>
        <w:t>Cours 2 Prix et couverture sur des futurs</w:t>
      </w: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pStyle w:val="Heading1"/>
        <w:numPr>
          <w:ilvl w:val="0"/>
          <w:numId w:val="4"/>
        </w:numPr>
        <w:rPr>
          <w:rFonts w:ascii="Garamond" w:hAnsi="Garamond"/>
          <w:sz w:val="22"/>
        </w:rPr>
      </w:pPr>
      <w:r w:rsidRPr="00020A98">
        <w:rPr>
          <w:rFonts w:ascii="Garamond" w:hAnsi="Garamond"/>
          <w:sz w:val="22"/>
        </w:rPr>
        <w:t>Question 2</w:t>
      </w:r>
    </w:p>
    <w:p w:rsidR="008532D9" w:rsidRPr="00020A98" w:rsidRDefault="008532D9">
      <w:pPr>
        <w:jc w:val="both"/>
        <w:rPr>
          <w:rFonts w:ascii="Garamond" w:hAnsi="Garamond"/>
          <w:b w:val="0"/>
          <w:caps w:val="0"/>
          <w:snapToGrid w:val="0"/>
          <w:u w:val="none"/>
        </w:rPr>
      </w:pPr>
    </w:p>
    <w:p w:rsidR="008532D9" w:rsidRPr="00020A98" w:rsidRDefault="008532D9">
      <w:pPr>
        <w:pStyle w:val="BodyText"/>
        <w:rPr>
          <w:rFonts w:ascii="Garamond" w:hAnsi="Garamond"/>
          <w:sz w:val="22"/>
        </w:rPr>
      </w:pPr>
      <w:r w:rsidRPr="00020A98">
        <w:rPr>
          <w:rFonts w:ascii="Garamond" w:hAnsi="Garamond"/>
          <w:sz w:val="22"/>
        </w:rPr>
        <w:t xml:space="preserve">On vous a proposé un contrat à terme </w:t>
      </w:r>
      <w:r w:rsidR="0048580D" w:rsidRPr="00020A98">
        <w:rPr>
          <w:rFonts w:ascii="Garamond" w:hAnsi="Garamond"/>
          <w:sz w:val="22"/>
        </w:rPr>
        <w:t xml:space="preserve">futur </w:t>
      </w:r>
      <w:r w:rsidRPr="00020A98">
        <w:rPr>
          <w:rFonts w:ascii="Garamond" w:hAnsi="Garamond"/>
          <w:sz w:val="22"/>
        </w:rPr>
        <w:t xml:space="preserve">de 13 mois sur une action individuelle. L’action est actuellement cotée à 65 USD et paye un dividende de </w:t>
      </w:r>
      <w:smartTag w:uri="urn:schemas-microsoft-com:office:smarttags" w:element="time">
        <w:smartTagPr>
          <w:attr w:name="Minute" w:val="25"/>
          <w:attr w:name="Hour" w:val="1"/>
        </w:smartTagPr>
        <w:r w:rsidRPr="00020A98">
          <w:rPr>
            <w:rFonts w:ascii="Garamond" w:hAnsi="Garamond"/>
            <w:sz w:val="22"/>
          </w:rPr>
          <w:t>1.25</w:t>
        </w:r>
      </w:smartTag>
      <w:r w:rsidRPr="00020A98">
        <w:rPr>
          <w:rFonts w:ascii="Garamond" w:hAnsi="Garamond"/>
          <w:sz w:val="22"/>
        </w:rPr>
        <w:t xml:space="preserve"> USD tous les six mois; le dernier paiement de dividende vient d’être effectué. Le taux sans risque (continu) pour toutes les maturités est de 4%. Quel devrait être le prix </w:t>
      </w:r>
      <w:r w:rsidR="0048580D" w:rsidRPr="00020A98">
        <w:rPr>
          <w:rFonts w:ascii="Garamond" w:hAnsi="Garamond"/>
          <w:sz w:val="22"/>
        </w:rPr>
        <w:t xml:space="preserve">d’exercice </w:t>
      </w:r>
      <w:r w:rsidRPr="00020A98">
        <w:rPr>
          <w:rFonts w:ascii="Garamond" w:hAnsi="Garamond"/>
          <w:sz w:val="22"/>
        </w:rPr>
        <w:t>théorique du contrat ?</w:t>
      </w:r>
    </w:p>
    <w:p w:rsidR="008532D9" w:rsidRPr="00020A98" w:rsidRDefault="007A018B">
      <w:pPr>
        <w:pStyle w:val="BodyText"/>
        <w:jc w:val="center"/>
        <w:rPr>
          <w:rFonts w:ascii="Garamond" w:hAnsi="Garamond"/>
          <w:sz w:val="22"/>
        </w:rPr>
      </w:pPr>
      <w:r w:rsidRPr="00020A98">
        <w:rPr>
          <w:rFonts w:ascii="Garamond" w:hAnsi="Garamond"/>
          <w:position w:val="-34"/>
          <w:sz w:val="22"/>
        </w:rPr>
        <w:object w:dxaOrig="4840" w:dyaOrig="800">
          <v:shape id="_x0000_i1033" type="#_x0000_t75" style="width:242.25pt;height:39.75pt" o:ole="" fillcolor="window">
            <v:imagedata r:id="rId22" o:title=""/>
          </v:shape>
          <o:OLEObject Type="Embed" ProgID="Equation.3" ShapeID="_x0000_i1033" DrawAspect="Content" ObjectID="_1502972410" r:id="rId23"/>
        </w:objec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numPr>
          <w:ilvl w:val="0"/>
          <w:numId w:val="7"/>
        </w:numPr>
        <w:rPr>
          <w:rFonts w:ascii="Garamond" w:hAnsi="Garamond"/>
          <w:caps w:val="0"/>
          <w:u w:val="none"/>
        </w:rPr>
      </w:pPr>
      <w:r w:rsidRPr="00020A98">
        <w:rPr>
          <w:rFonts w:ascii="Garamond" w:hAnsi="Garamond"/>
          <w:caps w:val="0"/>
          <w:u w:val="none"/>
        </w:rPr>
        <w:t>Question 3</w:t>
      </w:r>
    </w:p>
    <w:p w:rsidR="00020A98" w:rsidRPr="00020A98" w:rsidRDefault="00020A98" w:rsidP="00020A98">
      <w:pPr>
        <w:rPr>
          <w:rFonts w:ascii="Garamond" w:hAnsi="Garamond"/>
          <w:b w:val="0"/>
          <w:caps w:val="0"/>
          <w:sz w:val="24"/>
          <w:szCs w:val="24"/>
          <w:u w:val="none"/>
        </w:rPr>
      </w:pPr>
      <w:r w:rsidRPr="00020A98">
        <w:rPr>
          <w:rFonts w:ascii="Garamond" w:hAnsi="Garamond"/>
          <w:b w:val="0"/>
          <w:caps w:val="0"/>
          <w:sz w:val="24"/>
          <w:szCs w:val="24"/>
          <w:u w:val="none"/>
        </w:rPr>
        <w:t xml:space="preserve">Pour couvrir 10 actions à 20 euros (S = 200 Euros), on propose un contrat sur indice I = 100 euros, le beta entre l’indice et l’action vaut </w:t>
      </w:r>
      <w:r w:rsidRPr="00020A98">
        <w:rPr>
          <w:rFonts w:ascii="Garamond" w:hAnsi="Garamond"/>
          <w:caps w:val="0"/>
          <w:sz w:val="24"/>
          <w:szCs w:val="24"/>
          <w:u w:val="none"/>
        </w:rPr>
        <w:t>-0,5</w:t>
      </w:r>
      <w:r w:rsidRPr="00020A98">
        <w:rPr>
          <w:rFonts w:ascii="Garamond" w:hAnsi="Garamond"/>
          <w:b w:val="0"/>
          <w:caps w:val="0"/>
          <w:sz w:val="24"/>
          <w:szCs w:val="24"/>
          <w:u w:val="none"/>
        </w:rPr>
        <w:t>.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pStyle w:val="BodyText3"/>
        <w:rPr>
          <w:rFonts w:ascii="Garamond" w:hAnsi="Garamond"/>
        </w:rPr>
      </w:pPr>
      <w:r w:rsidRPr="00020A98">
        <w:rPr>
          <w:rFonts w:ascii="Garamond" w:hAnsi="Garamond"/>
        </w:rPr>
        <w:t>Pour couvrir une action S = 20 Euros, on propose un contrat sur indice I = 1</w:t>
      </w:r>
      <w:r w:rsidR="00020A98" w:rsidRPr="00020A98">
        <w:rPr>
          <w:rFonts w:ascii="Garamond" w:hAnsi="Garamond"/>
        </w:rPr>
        <w:t>0</w:t>
      </w:r>
      <w:r w:rsidRPr="00020A98">
        <w:rPr>
          <w:rFonts w:ascii="Garamond" w:hAnsi="Garamond"/>
        </w:rPr>
        <w:t xml:space="preserve">0 euros, le beta entre l’indice et l’action vaut -0.5. Combien de contrats </w:t>
      </w:r>
      <w:proofErr w:type="spellStart"/>
      <w:r w:rsidRPr="00020A98">
        <w:rPr>
          <w:rFonts w:ascii="Garamond" w:hAnsi="Garamond"/>
        </w:rPr>
        <w:t>faut il</w:t>
      </w:r>
      <w:proofErr w:type="spellEnd"/>
      <w:r w:rsidRPr="00020A98">
        <w:rPr>
          <w:rFonts w:ascii="Garamond" w:hAnsi="Garamond"/>
        </w:rPr>
        <w:t xml:space="preserve"> négocier pour couvrir l’action.</w:t>
      </w:r>
    </w:p>
    <w:p w:rsidR="008532D9" w:rsidRPr="00020A98" w:rsidRDefault="00F73948">
      <w:pPr>
        <w:jc w:val="center"/>
        <w:rPr>
          <w:rFonts w:ascii="Garamond" w:hAnsi="Garamond"/>
          <w:b w:val="0"/>
          <w:caps w:val="0"/>
          <w:u w:val="none"/>
        </w:rPr>
      </w:pPr>
      <w:r w:rsidRPr="00020A98">
        <w:rPr>
          <w:rFonts w:ascii="Garamond" w:hAnsi="Garamond"/>
          <w:caps w:val="0"/>
          <w:position w:val="-24"/>
          <w:sz w:val="20"/>
          <w:u w:val="none"/>
        </w:rPr>
        <w:object w:dxaOrig="2380" w:dyaOrig="620">
          <v:shape id="_x0000_i1034" type="#_x0000_t75" style="width:119.25pt;height:30.75pt" o:ole="" fillcolor="window">
            <v:imagedata r:id="rId24" o:title=""/>
          </v:shape>
          <o:OLEObject Type="Embed" ProgID="Equation.3" ShapeID="_x0000_i1034" DrawAspect="Content" ObjectID="_1502972411" r:id="rId25"/>
        </w:objec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pStyle w:val="Heading2"/>
        <w:rPr>
          <w:rFonts w:ascii="Garamond" w:hAnsi="Garamond"/>
        </w:rPr>
      </w:pPr>
      <w:r w:rsidRPr="00020A98">
        <w:rPr>
          <w:rFonts w:ascii="Garamond" w:hAnsi="Garamond"/>
        </w:rPr>
        <w:t>Cours 3 Les options negotiable</w:t>
      </w: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numPr>
          <w:ilvl w:val="0"/>
          <w:numId w:val="6"/>
        </w:numPr>
        <w:rPr>
          <w:rFonts w:ascii="Garamond" w:hAnsi="Garamond"/>
          <w:caps w:val="0"/>
          <w:u w:val="none"/>
        </w:rPr>
      </w:pPr>
      <w:r w:rsidRPr="00020A98">
        <w:rPr>
          <w:rFonts w:ascii="Garamond" w:hAnsi="Garamond"/>
          <w:caps w:val="0"/>
          <w:u w:val="none"/>
        </w:rPr>
        <w:t>Question 4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  <w:r w:rsidRPr="00020A98">
        <w:rPr>
          <w:rFonts w:ascii="Garamond" w:hAnsi="Garamond"/>
          <w:b w:val="0"/>
          <w:caps w:val="0"/>
          <w:u w:val="none"/>
        </w:rPr>
        <w:t xml:space="preserve">Quelle est la différence « juridique » entre un contrat futur et une option. Donner la définition des </w:t>
      </w:r>
      <w:proofErr w:type="spellStart"/>
      <w:r w:rsidRPr="00020A98">
        <w:rPr>
          <w:rFonts w:ascii="Garamond" w:hAnsi="Garamond"/>
          <w:b w:val="0"/>
          <w:caps w:val="0"/>
          <w:u w:val="none"/>
        </w:rPr>
        <w:t>payoff</w:t>
      </w:r>
      <w:proofErr w:type="spellEnd"/>
      <w:r w:rsidRPr="00020A98">
        <w:rPr>
          <w:rFonts w:ascii="Garamond" w:hAnsi="Garamond"/>
          <w:b w:val="0"/>
          <w:caps w:val="0"/>
          <w:u w:val="none"/>
        </w:rPr>
        <w:t xml:space="preserve"> pour l’achat d’un contrat et l’achat d’un Call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  <w:r w:rsidRPr="00020A98">
        <w:rPr>
          <w:rFonts w:ascii="Garamond" w:hAnsi="Garamond"/>
          <w:b w:val="0"/>
          <w:caps w:val="0"/>
          <w:u w:val="none"/>
        </w:rPr>
        <w:t>Le contrat est une obligation d’acheter ou de vendre, l’achat d’une option donne la possibilité est non l’obligation d’acheter ou de vendre.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caps w:val="0"/>
          <w:sz w:val="20"/>
          <w:u w:val="none"/>
        </w:rPr>
      </w:pPr>
      <w:r w:rsidRPr="00020A98">
        <w:rPr>
          <w:rFonts w:ascii="Garamond" w:hAnsi="Garamond"/>
          <w:caps w:val="0"/>
          <w:sz w:val="20"/>
          <w:u w:val="none"/>
        </w:rPr>
        <w:t>L’acheteur</w:t>
      </w:r>
      <w:r w:rsidRPr="00020A98">
        <w:rPr>
          <w:rFonts w:ascii="Garamond" w:hAnsi="Garamond"/>
          <w:b w:val="0"/>
          <w:caps w:val="0"/>
          <w:sz w:val="20"/>
          <w:u w:val="none"/>
        </w:rPr>
        <w:t xml:space="preserve"> du contrat reçoit le </w:t>
      </w:r>
      <w:proofErr w:type="spellStart"/>
      <w:r w:rsidRPr="00020A98">
        <w:rPr>
          <w:rFonts w:ascii="Garamond" w:hAnsi="Garamond"/>
          <w:b w:val="0"/>
          <w:caps w:val="0"/>
          <w:sz w:val="20"/>
          <w:u w:val="none"/>
        </w:rPr>
        <w:t>sous jacent</w:t>
      </w:r>
      <w:proofErr w:type="spellEnd"/>
      <w:r w:rsidRPr="00020A98">
        <w:rPr>
          <w:rFonts w:ascii="Garamond" w:hAnsi="Garamond"/>
          <w:b w:val="0"/>
          <w:caps w:val="0"/>
          <w:sz w:val="20"/>
          <w:u w:val="none"/>
        </w:rPr>
        <w:t xml:space="preserve"> S qu’il peut revendre au prix du marché à </w:t>
      </w:r>
      <w:proofErr w:type="gramStart"/>
      <w:r w:rsidRPr="00020A98">
        <w:rPr>
          <w:rFonts w:ascii="Garamond" w:hAnsi="Garamond"/>
          <w:b w:val="0"/>
          <w:caps w:val="0"/>
          <w:sz w:val="20"/>
          <w:u w:val="none"/>
        </w:rPr>
        <w:t>l’ échéance</w:t>
      </w:r>
      <w:proofErr w:type="gramEnd"/>
      <w:r w:rsidRPr="00020A98">
        <w:rPr>
          <w:rFonts w:ascii="Garamond" w:hAnsi="Garamond"/>
          <w:b w:val="0"/>
          <w:caps w:val="0"/>
          <w:sz w:val="20"/>
          <w:u w:val="none"/>
        </w:rPr>
        <w:t xml:space="preserve">, </w:t>
      </w:r>
      <w:r w:rsidRPr="00020A98">
        <w:rPr>
          <w:rFonts w:ascii="Garamond" w:hAnsi="Garamond"/>
          <w:b w:val="0"/>
          <w:caps w:val="0"/>
          <w:position w:val="-10"/>
          <w:sz w:val="20"/>
          <w:u w:val="none"/>
        </w:rPr>
        <w:object w:dxaOrig="300" w:dyaOrig="300">
          <v:shape id="_x0000_i1035" type="#_x0000_t75" style="width:15pt;height:15pt" o:ole="" fillcolor="window">
            <v:imagedata r:id="rId26" o:title=""/>
          </v:shape>
          <o:OLEObject Type="Embed" ProgID="Equation.3" ShapeID="_x0000_i1035" DrawAspect="Content" ObjectID="_1502972412" r:id="rId27"/>
        </w:object>
      </w:r>
      <w:r w:rsidRPr="00020A98">
        <w:rPr>
          <w:rFonts w:ascii="Garamond" w:hAnsi="Garamond"/>
          <w:b w:val="0"/>
          <w:caps w:val="0"/>
          <w:sz w:val="20"/>
          <w:u w:val="none"/>
        </w:rPr>
        <w:t xml:space="preserve">, et le paye à la valeur d’achat K. Le flux unique final est </w:t>
      </w:r>
      <w:proofErr w:type="gramStart"/>
      <w:r w:rsidRPr="00020A98">
        <w:rPr>
          <w:rFonts w:ascii="Garamond" w:hAnsi="Garamond"/>
          <w:b w:val="0"/>
          <w:caps w:val="0"/>
          <w:sz w:val="20"/>
          <w:u w:val="none"/>
        </w:rPr>
        <w:t xml:space="preserve">donc </w:t>
      </w:r>
      <w:proofErr w:type="gramEnd"/>
      <w:r w:rsidRPr="00020A98">
        <w:rPr>
          <w:rFonts w:ascii="Garamond" w:hAnsi="Garamond"/>
          <w:caps w:val="0"/>
          <w:position w:val="-10"/>
          <w:sz w:val="20"/>
          <w:u w:val="none"/>
        </w:rPr>
        <w:object w:dxaOrig="660" w:dyaOrig="300">
          <v:shape id="_x0000_i1036" type="#_x0000_t75" style="width:33pt;height:15pt" o:ole="" fillcolor="window">
            <v:imagedata r:id="rId28" o:title=""/>
          </v:shape>
          <o:OLEObject Type="Embed" ProgID="Equation.3" ShapeID="_x0000_i1036" DrawAspect="Content" ObjectID="_1502972413" r:id="rId29"/>
        </w:object>
      </w:r>
      <w:r w:rsidRPr="00020A98">
        <w:rPr>
          <w:rFonts w:ascii="Garamond" w:hAnsi="Garamond"/>
          <w:caps w:val="0"/>
          <w:sz w:val="20"/>
          <w:u w:val="none"/>
        </w:rPr>
        <w:t>.</w:t>
      </w:r>
    </w:p>
    <w:p w:rsidR="008532D9" w:rsidRPr="00020A98" w:rsidRDefault="008532D9">
      <w:pPr>
        <w:rPr>
          <w:rFonts w:ascii="Garamond" w:hAnsi="Garamond"/>
          <w:caps w:val="0"/>
          <w:sz w:val="20"/>
          <w:u w:val="none"/>
        </w:rPr>
      </w:pPr>
      <w:r w:rsidRPr="00020A98">
        <w:rPr>
          <w:rFonts w:ascii="Garamond" w:hAnsi="Garamond"/>
          <w:caps w:val="0"/>
          <w:sz w:val="20"/>
          <w:u w:val="none"/>
        </w:rPr>
        <w:t xml:space="preserve">Si </w:t>
      </w:r>
      <w:r w:rsidRPr="00020A98">
        <w:rPr>
          <w:rFonts w:ascii="Garamond" w:hAnsi="Garamond"/>
          <w:caps w:val="0"/>
          <w:position w:val="-10"/>
          <w:sz w:val="20"/>
          <w:u w:val="none"/>
        </w:rPr>
        <w:object w:dxaOrig="700" w:dyaOrig="300">
          <v:shape id="_x0000_i1037" type="#_x0000_t75" style="width:35.25pt;height:15pt" o:ole="" fillcolor="window">
            <v:imagedata r:id="rId30" o:title=""/>
          </v:shape>
          <o:OLEObject Type="Embed" ProgID="Equation.3" ShapeID="_x0000_i1037" DrawAspect="Content" ObjectID="_1502972414" r:id="rId31"/>
        </w:object>
      </w:r>
      <w:r w:rsidRPr="00020A98">
        <w:rPr>
          <w:rFonts w:ascii="Garamond" w:hAnsi="Garamond"/>
          <w:caps w:val="0"/>
          <w:sz w:val="20"/>
          <w:u w:val="none"/>
        </w:rPr>
        <w:t xml:space="preserve"> il </w:t>
      </w:r>
      <w:proofErr w:type="gramStart"/>
      <w:r w:rsidRPr="00020A98">
        <w:rPr>
          <w:rFonts w:ascii="Garamond" w:hAnsi="Garamond"/>
          <w:caps w:val="0"/>
          <w:sz w:val="20"/>
          <w:u w:val="none"/>
        </w:rPr>
        <w:t xml:space="preserve">gagne </w:t>
      </w:r>
      <w:proofErr w:type="gramEnd"/>
      <w:r w:rsidRPr="00020A98">
        <w:rPr>
          <w:rFonts w:ascii="Garamond" w:hAnsi="Garamond"/>
          <w:caps w:val="0"/>
          <w:position w:val="-10"/>
          <w:sz w:val="20"/>
          <w:u w:val="none"/>
        </w:rPr>
        <w:object w:dxaOrig="660" w:dyaOrig="300">
          <v:shape id="_x0000_i1038" type="#_x0000_t75" style="width:33pt;height:15pt" o:ole="" fillcolor="window">
            <v:imagedata r:id="rId28" o:title=""/>
          </v:shape>
          <o:OLEObject Type="Embed" ProgID="Equation.3" ShapeID="_x0000_i1038" DrawAspect="Content" ObjectID="_1502972415" r:id="rId32"/>
        </w:object>
      </w:r>
      <w:r w:rsidRPr="00020A98">
        <w:rPr>
          <w:rFonts w:ascii="Garamond" w:hAnsi="Garamond"/>
          <w:caps w:val="0"/>
          <w:sz w:val="20"/>
          <w:u w:val="none"/>
        </w:rPr>
        <w:t>.</w:t>
      </w:r>
    </w:p>
    <w:p w:rsidR="008532D9" w:rsidRPr="00020A98" w:rsidRDefault="008532D9">
      <w:pPr>
        <w:rPr>
          <w:rFonts w:ascii="Garamond" w:hAnsi="Garamond"/>
        </w:rPr>
      </w:pPr>
      <w:r w:rsidRPr="00020A98">
        <w:rPr>
          <w:rFonts w:ascii="Garamond" w:hAnsi="Garamond"/>
          <w:caps w:val="0"/>
          <w:sz w:val="20"/>
          <w:u w:val="none"/>
        </w:rPr>
        <w:t xml:space="preserve">Si </w:t>
      </w:r>
      <w:r w:rsidRPr="00020A98">
        <w:rPr>
          <w:rFonts w:ascii="Garamond" w:hAnsi="Garamond"/>
          <w:caps w:val="0"/>
          <w:position w:val="-10"/>
          <w:sz w:val="20"/>
          <w:u w:val="none"/>
        </w:rPr>
        <w:object w:dxaOrig="680" w:dyaOrig="300">
          <v:shape id="_x0000_i1039" type="#_x0000_t75" style="width:33.75pt;height:15pt" o:ole="" fillcolor="window">
            <v:imagedata r:id="rId33" o:title=""/>
          </v:shape>
          <o:OLEObject Type="Embed" ProgID="Equation.3" ShapeID="_x0000_i1039" DrawAspect="Content" ObjectID="_1502972416" r:id="rId34"/>
        </w:object>
      </w:r>
      <w:r w:rsidRPr="00020A98">
        <w:rPr>
          <w:rFonts w:ascii="Garamond" w:hAnsi="Garamond"/>
          <w:caps w:val="0"/>
          <w:sz w:val="20"/>
          <w:u w:val="none"/>
        </w:rPr>
        <w:t xml:space="preserve"> il </w:t>
      </w:r>
      <w:proofErr w:type="gramStart"/>
      <w:r w:rsidRPr="00020A98">
        <w:rPr>
          <w:rFonts w:ascii="Garamond" w:hAnsi="Garamond"/>
          <w:caps w:val="0"/>
          <w:sz w:val="20"/>
          <w:u w:val="none"/>
        </w:rPr>
        <w:t xml:space="preserve">perd </w:t>
      </w:r>
      <w:proofErr w:type="gramEnd"/>
      <w:r w:rsidRPr="00020A98">
        <w:rPr>
          <w:rFonts w:ascii="Garamond" w:hAnsi="Garamond"/>
          <w:caps w:val="0"/>
          <w:position w:val="-10"/>
          <w:sz w:val="20"/>
          <w:u w:val="none"/>
        </w:rPr>
        <w:object w:dxaOrig="660" w:dyaOrig="300">
          <v:shape id="_x0000_i1040" type="#_x0000_t75" style="width:33pt;height:15pt" o:ole="" fillcolor="window">
            <v:imagedata r:id="rId28" o:title=""/>
          </v:shape>
          <o:OLEObject Type="Embed" ProgID="Equation.3" ShapeID="_x0000_i1040" DrawAspect="Content" ObjectID="_1502972417" r:id="rId35"/>
        </w:object>
      </w:r>
      <w:r w:rsidRPr="00020A98">
        <w:rPr>
          <w:rFonts w:ascii="Garamond" w:hAnsi="Garamond"/>
          <w:caps w:val="0"/>
          <w:sz w:val="20"/>
          <w:u w:val="none"/>
        </w:rPr>
        <w:t>.</w:t>
      </w:r>
    </w:p>
    <w:p w:rsidR="008532D9" w:rsidRPr="00020A98" w:rsidRDefault="008532D9">
      <w:pPr>
        <w:jc w:val="both"/>
        <w:rPr>
          <w:rFonts w:ascii="Garamond" w:hAnsi="Garamond"/>
          <w:caps w:val="0"/>
          <w:sz w:val="20"/>
          <w:u w:val="none"/>
        </w:rPr>
      </w:pPr>
    </w:p>
    <w:p w:rsidR="008532D9" w:rsidRPr="00020A98" w:rsidRDefault="008532D9">
      <w:pPr>
        <w:jc w:val="both"/>
        <w:rPr>
          <w:rFonts w:ascii="Garamond" w:hAnsi="Garamond"/>
          <w:caps w:val="0"/>
          <w:sz w:val="20"/>
          <w:u w:val="none"/>
        </w:rPr>
      </w:pPr>
      <w:r w:rsidRPr="00020A98">
        <w:rPr>
          <w:rFonts w:ascii="Garamond" w:hAnsi="Garamond"/>
          <w:caps w:val="0"/>
          <w:sz w:val="20"/>
          <w:u w:val="none"/>
        </w:rPr>
        <w:t>Acheter un call :</w:t>
      </w:r>
    </w:p>
    <w:p w:rsidR="008532D9" w:rsidRPr="00020A98" w:rsidRDefault="008532D9">
      <w:pPr>
        <w:jc w:val="both"/>
        <w:rPr>
          <w:rFonts w:ascii="Garamond" w:hAnsi="Garamond"/>
          <w:caps w:val="0"/>
          <w:sz w:val="20"/>
          <w:u w:val="none"/>
        </w:rPr>
      </w:pPr>
    </w:p>
    <w:p w:rsidR="008532D9" w:rsidRPr="00020A98" w:rsidRDefault="008532D9">
      <w:pPr>
        <w:jc w:val="both"/>
        <w:rPr>
          <w:rFonts w:ascii="Garamond" w:hAnsi="Garamond"/>
          <w:b w:val="0"/>
          <w:caps w:val="0"/>
          <w:sz w:val="20"/>
          <w:u w:val="none"/>
        </w:rPr>
      </w:pPr>
      <w:r w:rsidRPr="00020A98">
        <w:rPr>
          <w:rFonts w:ascii="Garamond" w:hAnsi="Garamond"/>
          <w:b w:val="0"/>
          <w:caps w:val="0"/>
          <w:sz w:val="20"/>
          <w:u w:val="none"/>
        </w:rPr>
        <w:t>Flux en date de conclusion du contrat : payer le premium</w:t>
      </w:r>
    </w:p>
    <w:p w:rsidR="008532D9" w:rsidRPr="00020A98" w:rsidRDefault="008532D9">
      <w:pPr>
        <w:jc w:val="both"/>
        <w:rPr>
          <w:rFonts w:ascii="Garamond" w:hAnsi="Garamond"/>
          <w:b w:val="0"/>
          <w:caps w:val="0"/>
          <w:sz w:val="20"/>
          <w:u w:val="none"/>
        </w:rPr>
      </w:pPr>
      <w:r w:rsidRPr="00020A98">
        <w:rPr>
          <w:rFonts w:ascii="Garamond" w:hAnsi="Garamond"/>
          <w:b w:val="0"/>
          <w:caps w:val="0"/>
          <w:sz w:val="20"/>
          <w:u w:val="none"/>
        </w:rPr>
        <w:t xml:space="preserve">Flux à l’échéance T : si </w:t>
      </w:r>
      <w:r w:rsidRPr="00020A98">
        <w:rPr>
          <w:rFonts w:ascii="Garamond" w:hAnsi="Garamond"/>
          <w:b w:val="0"/>
          <w:caps w:val="0"/>
          <w:position w:val="-10"/>
          <w:sz w:val="20"/>
          <w:u w:val="none"/>
        </w:rPr>
        <w:object w:dxaOrig="700" w:dyaOrig="300">
          <v:shape id="_x0000_i1041" type="#_x0000_t75" style="width:35.25pt;height:15pt" o:ole="" fillcolor="window">
            <v:imagedata r:id="rId30" o:title=""/>
          </v:shape>
          <o:OLEObject Type="Embed" ProgID="Equation.3" ShapeID="_x0000_i1041" DrawAspect="Content" ObjectID="_1502972418" r:id="rId36"/>
        </w:object>
      </w:r>
      <w:r w:rsidRPr="00020A98">
        <w:rPr>
          <w:rFonts w:ascii="Garamond" w:hAnsi="Garamond"/>
          <w:b w:val="0"/>
          <w:caps w:val="0"/>
          <w:sz w:val="20"/>
          <w:u w:val="none"/>
        </w:rPr>
        <w:t xml:space="preserve">on exerce </w:t>
      </w:r>
      <w:proofErr w:type="spellStart"/>
      <w:r w:rsidRPr="00020A98">
        <w:rPr>
          <w:rFonts w:ascii="Garamond" w:hAnsi="Garamond"/>
          <w:b w:val="0"/>
          <w:caps w:val="0"/>
          <w:sz w:val="20"/>
          <w:u w:val="none"/>
        </w:rPr>
        <w:t>sont</w:t>
      </w:r>
      <w:proofErr w:type="spellEnd"/>
      <w:r w:rsidRPr="00020A98">
        <w:rPr>
          <w:rFonts w:ascii="Garamond" w:hAnsi="Garamond"/>
          <w:b w:val="0"/>
          <w:caps w:val="0"/>
          <w:sz w:val="20"/>
          <w:u w:val="none"/>
        </w:rPr>
        <w:t xml:space="preserve"> droit et on gagne </w:t>
      </w:r>
      <w:r w:rsidRPr="00020A98">
        <w:rPr>
          <w:rFonts w:ascii="Garamond" w:hAnsi="Garamond"/>
          <w:b w:val="0"/>
          <w:caps w:val="0"/>
          <w:position w:val="-10"/>
          <w:sz w:val="20"/>
          <w:u w:val="none"/>
        </w:rPr>
        <w:object w:dxaOrig="660" w:dyaOrig="300">
          <v:shape id="_x0000_i1042" type="#_x0000_t75" style="width:33pt;height:15pt" o:ole="" fillcolor="window">
            <v:imagedata r:id="rId37" o:title=""/>
          </v:shape>
          <o:OLEObject Type="Embed" ProgID="Equation.3" ShapeID="_x0000_i1042" DrawAspect="Content" ObjectID="_1502972419" r:id="rId38"/>
        </w:object>
      </w:r>
      <w:r w:rsidRPr="00020A98">
        <w:rPr>
          <w:rFonts w:ascii="Garamond" w:hAnsi="Garamond"/>
          <w:b w:val="0"/>
          <w:caps w:val="0"/>
          <w:sz w:val="20"/>
          <w:u w:val="none"/>
        </w:rPr>
        <w:tab/>
      </w:r>
    </w:p>
    <w:p w:rsidR="008532D9" w:rsidRPr="00020A98" w:rsidRDefault="008532D9">
      <w:pPr>
        <w:jc w:val="both"/>
        <w:rPr>
          <w:rFonts w:ascii="Garamond" w:hAnsi="Garamond"/>
          <w:b w:val="0"/>
          <w:caps w:val="0"/>
          <w:sz w:val="20"/>
          <w:u w:val="none"/>
        </w:rPr>
      </w:pPr>
      <w:r w:rsidRPr="00020A98">
        <w:rPr>
          <w:rFonts w:ascii="Garamond" w:hAnsi="Garamond"/>
          <w:b w:val="0"/>
          <w:caps w:val="0"/>
          <w:sz w:val="20"/>
          <w:u w:val="none"/>
        </w:rPr>
        <w:tab/>
      </w:r>
      <w:r w:rsidRPr="00020A98">
        <w:rPr>
          <w:rFonts w:ascii="Garamond" w:hAnsi="Garamond"/>
          <w:b w:val="0"/>
          <w:caps w:val="0"/>
          <w:sz w:val="20"/>
          <w:u w:val="none"/>
        </w:rPr>
        <w:tab/>
        <w:t xml:space="preserve">          Si </w:t>
      </w:r>
      <w:r w:rsidRPr="00020A98">
        <w:rPr>
          <w:rFonts w:ascii="Garamond" w:hAnsi="Garamond"/>
          <w:b w:val="0"/>
          <w:caps w:val="0"/>
          <w:position w:val="-10"/>
          <w:sz w:val="20"/>
          <w:u w:val="none"/>
        </w:rPr>
        <w:object w:dxaOrig="680" w:dyaOrig="300">
          <v:shape id="_x0000_i1043" type="#_x0000_t75" style="width:33.75pt;height:15pt" o:ole="" fillcolor="window">
            <v:imagedata r:id="rId39" o:title=""/>
          </v:shape>
          <o:OLEObject Type="Embed" ProgID="Equation.3" ShapeID="_x0000_i1043" DrawAspect="Content" ObjectID="_1502972420" r:id="rId40"/>
        </w:object>
      </w:r>
      <w:r w:rsidRPr="00020A98">
        <w:rPr>
          <w:rFonts w:ascii="Garamond" w:hAnsi="Garamond"/>
          <w:b w:val="0"/>
          <w:caps w:val="0"/>
          <w:sz w:val="20"/>
          <w:u w:val="none"/>
        </w:rPr>
        <w:t>on a perdu donc on n’exerce pas l’option. on reçoit 0</w:t>
      </w:r>
    </w:p>
    <w:p w:rsidR="008532D9" w:rsidRPr="00020A98" w:rsidRDefault="008532D9">
      <w:pPr>
        <w:jc w:val="both"/>
        <w:rPr>
          <w:rFonts w:ascii="Garamond" w:hAnsi="Garamond"/>
          <w:b w:val="0"/>
          <w:caps w:val="0"/>
          <w:sz w:val="20"/>
          <w:u w:val="none"/>
        </w:rPr>
      </w:pPr>
      <w:r w:rsidRPr="00020A98">
        <w:rPr>
          <w:rFonts w:ascii="Garamond" w:hAnsi="Garamond"/>
          <w:b w:val="0"/>
          <w:caps w:val="0"/>
          <w:sz w:val="20"/>
          <w:u w:val="none"/>
        </w:rPr>
        <w:tab/>
      </w:r>
      <w:r w:rsidRPr="00020A98">
        <w:rPr>
          <w:rFonts w:ascii="Garamond" w:hAnsi="Garamond"/>
          <w:b w:val="0"/>
          <w:caps w:val="0"/>
          <w:sz w:val="20"/>
          <w:u w:val="none"/>
        </w:rPr>
        <w:tab/>
      </w:r>
      <w:r w:rsidRPr="00020A98">
        <w:rPr>
          <w:rFonts w:ascii="Garamond" w:hAnsi="Garamond"/>
          <w:b w:val="0"/>
          <w:caps w:val="0"/>
          <w:sz w:val="20"/>
          <w:u w:val="none"/>
        </w:rPr>
        <w:tab/>
        <w:t xml:space="preserve">Le flux final est donc  </w:t>
      </w:r>
      <w:r w:rsidRPr="00020A98">
        <w:rPr>
          <w:rFonts w:ascii="Garamond" w:hAnsi="Garamond"/>
          <w:b w:val="0"/>
          <w:caps w:val="0"/>
          <w:position w:val="-10"/>
          <w:sz w:val="20"/>
          <w:u w:val="none"/>
        </w:rPr>
        <w:object w:dxaOrig="1280" w:dyaOrig="300">
          <v:shape id="_x0000_i1044" type="#_x0000_t75" style="width:63.75pt;height:15pt" o:ole="" fillcolor="window">
            <v:imagedata r:id="rId41" o:title=""/>
          </v:shape>
          <o:OLEObject Type="Embed" ProgID="Equation.3" ShapeID="_x0000_i1044" DrawAspect="Content" ObjectID="_1502972421" r:id="rId42"/>
        </w:objec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numPr>
          <w:ilvl w:val="0"/>
          <w:numId w:val="8"/>
        </w:numPr>
        <w:rPr>
          <w:rFonts w:ascii="Garamond" w:hAnsi="Garamond"/>
          <w:caps w:val="0"/>
          <w:u w:val="none"/>
        </w:rPr>
      </w:pPr>
      <w:r w:rsidRPr="00020A98">
        <w:rPr>
          <w:rFonts w:ascii="Garamond" w:hAnsi="Garamond"/>
          <w:caps w:val="0"/>
          <w:u w:val="none"/>
        </w:rPr>
        <w:t>Question 5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pStyle w:val="BodyText2"/>
        <w:jc w:val="center"/>
        <w:rPr>
          <w:rFonts w:ascii="Garamond" w:hAnsi="Garamond"/>
          <w:sz w:val="22"/>
        </w:rPr>
      </w:pPr>
      <w:r w:rsidRPr="00020A98">
        <w:rPr>
          <w:rFonts w:ascii="Garamond" w:hAnsi="Garamond"/>
          <w:position w:val="-10"/>
          <w:sz w:val="22"/>
        </w:rPr>
        <w:object w:dxaOrig="3159" w:dyaOrig="340">
          <v:shape id="_x0000_i1045" type="#_x0000_t75" style="width:162pt;height:17.25pt" o:ole="" fillcolor="window">
            <v:imagedata r:id="rId43" o:title=""/>
          </v:shape>
          <o:OLEObject Type="Embed" ProgID="Equation.3" ShapeID="_x0000_i1045" DrawAspect="Content" ObjectID="_1502972422" r:id="rId44"/>
        </w:object>
      </w:r>
    </w:p>
    <w:p w:rsidR="008532D9" w:rsidRPr="00020A98" w:rsidRDefault="008532D9">
      <w:pPr>
        <w:pStyle w:val="BodyText2"/>
        <w:jc w:val="both"/>
        <w:rPr>
          <w:rFonts w:ascii="Garamond" w:hAnsi="Garamond"/>
          <w:sz w:val="22"/>
        </w:rPr>
      </w:pPr>
    </w:p>
    <w:p w:rsidR="008532D9" w:rsidRPr="00020A98" w:rsidRDefault="008532D9">
      <w:pPr>
        <w:pStyle w:val="BodyText2"/>
        <w:jc w:val="center"/>
        <w:rPr>
          <w:rFonts w:ascii="Garamond" w:hAnsi="Garamond"/>
          <w:sz w:val="22"/>
        </w:rPr>
      </w:pPr>
      <w:r w:rsidRPr="00020A98">
        <w:rPr>
          <w:rFonts w:ascii="Garamond" w:hAnsi="Garamond"/>
          <w:position w:val="-14"/>
          <w:sz w:val="22"/>
        </w:rPr>
        <w:object w:dxaOrig="3519" w:dyaOrig="440">
          <v:shape id="_x0000_i1046" type="#_x0000_t75" style="width:156pt;height:22.5pt" o:ole="" fillcolor="window">
            <v:imagedata r:id="rId45" o:title=""/>
          </v:shape>
          <o:OLEObject Type="Embed" ProgID="Equation.3" ShapeID="_x0000_i1046" DrawAspect="Content" ObjectID="_1502972423" r:id="rId46"/>
        </w:object>
      </w:r>
    </w:p>
    <w:p w:rsidR="008532D9" w:rsidRPr="00020A98" w:rsidRDefault="008532D9">
      <w:pPr>
        <w:pStyle w:val="BodyText2"/>
        <w:jc w:val="both"/>
        <w:rPr>
          <w:rFonts w:ascii="Garamond" w:hAnsi="Garamond"/>
          <w:sz w:val="22"/>
        </w:rPr>
      </w:pPr>
    </w:p>
    <w:p w:rsidR="008532D9" w:rsidRPr="00020A98" w:rsidRDefault="008532D9">
      <w:pPr>
        <w:pStyle w:val="BodyText2"/>
        <w:jc w:val="both"/>
        <w:rPr>
          <w:rFonts w:ascii="Garamond" w:hAnsi="Garamond"/>
          <w:sz w:val="22"/>
        </w:rPr>
      </w:pPr>
      <w:r w:rsidRPr="00020A98">
        <w:rPr>
          <w:rFonts w:ascii="Garamond" w:hAnsi="Garamond"/>
          <w:sz w:val="22"/>
        </w:rPr>
        <w:t>avec</w:t>
      </w:r>
    </w:p>
    <w:p w:rsidR="008532D9" w:rsidRPr="00020A98" w:rsidRDefault="008532D9">
      <w:pPr>
        <w:pStyle w:val="BodyText2"/>
        <w:jc w:val="center"/>
        <w:rPr>
          <w:rFonts w:ascii="Garamond" w:hAnsi="Garamond"/>
          <w:sz w:val="22"/>
        </w:rPr>
      </w:pPr>
      <w:r w:rsidRPr="00020A98">
        <w:rPr>
          <w:rFonts w:ascii="Garamond" w:hAnsi="Garamond"/>
          <w:position w:val="-26"/>
          <w:sz w:val="22"/>
        </w:rPr>
        <w:object w:dxaOrig="2340" w:dyaOrig="900">
          <v:shape id="_x0000_i1047" type="#_x0000_t75" style="width:87.75pt;height:33.75pt" o:ole="" fillcolor="window">
            <v:imagedata r:id="rId47" o:title=""/>
          </v:shape>
          <o:OLEObject Type="Embed" ProgID="Equation.3" ShapeID="_x0000_i1047" DrawAspect="Content" ObjectID="_1502972424" r:id="rId48"/>
        </w:object>
      </w:r>
    </w:p>
    <w:p w:rsidR="008532D9" w:rsidRPr="00020A98" w:rsidRDefault="008532D9">
      <w:pPr>
        <w:pStyle w:val="BodyText2"/>
        <w:jc w:val="both"/>
        <w:rPr>
          <w:rFonts w:ascii="Garamond" w:hAnsi="Garamond"/>
          <w:sz w:val="22"/>
        </w:rPr>
      </w:pPr>
    </w:p>
    <w:p w:rsidR="008532D9" w:rsidRPr="00020A98" w:rsidRDefault="008532D9">
      <w:pPr>
        <w:pStyle w:val="BodyText2"/>
        <w:jc w:val="center"/>
        <w:rPr>
          <w:rFonts w:ascii="Garamond" w:hAnsi="Garamond"/>
          <w:sz w:val="22"/>
        </w:rPr>
      </w:pPr>
      <w:r w:rsidRPr="00020A98">
        <w:rPr>
          <w:rFonts w:ascii="Garamond" w:hAnsi="Garamond"/>
          <w:position w:val="-26"/>
          <w:sz w:val="22"/>
        </w:rPr>
        <w:object w:dxaOrig="3320" w:dyaOrig="900">
          <v:shape id="_x0000_i1048" type="#_x0000_t75" style="width:109.5pt;height:30pt" o:ole="" fillcolor="window">
            <v:imagedata r:id="rId49" o:title=""/>
          </v:shape>
          <o:OLEObject Type="Embed" ProgID="Equation.3" ShapeID="_x0000_i1048" DrawAspect="Content" ObjectID="_1502972425" r:id="rId50"/>
        </w:object>
      </w:r>
    </w:p>
    <w:p w:rsidR="008532D9" w:rsidRPr="00020A98" w:rsidRDefault="008532D9">
      <w:pPr>
        <w:pStyle w:val="BodyText2"/>
        <w:jc w:val="center"/>
        <w:rPr>
          <w:rFonts w:ascii="Garamond" w:hAnsi="Garamond"/>
          <w:sz w:val="22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  <w:r w:rsidRPr="00020A98">
        <w:rPr>
          <w:rFonts w:ascii="Garamond" w:hAnsi="Garamond"/>
          <w:b w:val="0"/>
          <w:caps w:val="0"/>
          <w:u w:val="none"/>
        </w:rPr>
        <w:t>Que représentent les paramètres cités dans les formules précédentes :</w:t>
      </w:r>
    </w:p>
    <w:p w:rsidR="008532D9" w:rsidRPr="00020A98" w:rsidRDefault="008532D9">
      <w:pPr>
        <w:pStyle w:val="BodyText2"/>
        <w:jc w:val="both"/>
        <w:rPr>
          <w:rFonts w:ascii="Garamond" w:hAnsi="Garamond"/>
          <w:sz w:val="22"/>
        </w:rPr>
      </w:pPr>
    </w:p>
    <w:p w:rsidR="008532D9" w:rsidRPr="00020A98" w:rsidRDefault="008532D9">
      <w:pPr>
        <w:pStyle w:val="BodyText2"/>
        <w:ind w:left="1418" w:hanging="1418"/>
        <w:jc w:val="both"/>
        <w:rPr>
          <w:rFonts w:ascii="Garamond" w:hAnsi="Garamond"/>
          <w:b/>
        </w:rPr>
      </w:pPr>
      <w:r w:rsidRPr="00020A98">
        <w:rPr>
          <w:rFonts w:ascii="Garamond" w:hAnsi="Garamond"/>
          <w:position w:val="-6"/>
        </w:rPr>
        <w:object w:dxaOrig="560" w:dyaOrig="279">
          <v:shape id="_x0000_i1049" type="#_x0000_t75" style="width:27.75pt;height:14.25pt" o:ole="" fillcolor="window">
            <v:imagedata r:id="rId51" o:title=""/>
          </v:shape>
          <o:OLEObject Type="Embed" ProgID="Equation.3" ShapeID="_x0000_i1049" DrawAspect="Content" ObjectID="_1502972426" r:id="rId52"/>
        </w:object>
      </w:r>
      <w:r w:rsidRPr="00020A98">
        <w:rPr>
          <w:rFonts w:ascii="Garamond" w:hAnsi="Garamond"/>
        </w:rPr>
        <w:tab/>
      </w:r>
      <w:proofErr w:type="gramStart"/>
      <w:r w:rsidRPr="00020A98">
        <w:rPr>
          <w:rFonts w:ascii="Garamond" w:hAnsi="Garamond"/>
        </w:rPr>
        <w:t>donne</w:t>
      </w:r>
      <w:proofErr w:type="gramEnd"/>
      <w:r w:rsidRPr="00020A98">
        <w:rPr>
          <w:rFonts w:ascii="Garamond" w:hAnsi="Garamond"/>
        </w:rPr>
        <w:t xml:space="preserve"> </w:t>
      </w:r>
      <w:smartTag w:uri="urn:schemas-microsoft-com:office:smarttags" w:element="PersonName">
        <w:smartTagPr>
          <w:attr w:name="ProductID" w:val="la Formule"/>
        </w:smartTagPr>
        <w:r w:rsidRPr="00020A98">
          <w:rPr>
            <w:rFonts w:ascii="Garamond" w:hAnsi="Garamond"/>
          </w:rPr>
          <w:t>la Formule</w:t>
        </w:r>
      </w:smartTag>
      <w:r w:rsidRPr="00020A98">
        <w:rPr>
          <w:rFonts w:ascii="Garamond" w:hAnsi="Garamond"/>
        </w:rPr>
        <w:t xml:space="preserve"> de </w:t>
      </w:r>
      <w:r w:rsidRPr="00020A98">
        <w:rPr>
          <w:rFonts w:ascii="Garamond" w:hAnsi="Garamond"/>
          <w:b/>
          <w:color w:val="0000FF"/>
        </w:rPr>
        <w:t xml:space="preserve">Black et </w:t>
      </w:r>
      <w:proofErr w:type="spellStart"/>
      <w:r w:rsidRPr="00020A98">
        <w:rPr>
          <w:rFonts w:ascii="Garamond" w:hAnsi="Garamond"/>
          <w:b/>
          <w:color w:val="0000FF"/>
        </w:rPr>
        <w:t>Scholes</w:t>
      </w:r>
      <w:proofErr w:type="spellEnd"/>
      <w:r w:rsidRPr="00020A98">
        <w:rPr>
          <w:rFonts w:ascii="Garamond" w:hAnsi="Garamond"/>
        </w:rPr>
        <w:t xml:space="preserve"> (1973)</w:t>
      </w:r>
      <w:r w:rsidRPr="00020A98">
        <w:rPr>
          <w:rFonts w:ascii="Garamond" w:hAnsi="Garamond"/>
          <w:b/>
        </w:rPr>
        <w:t xml:space="preserve"> </w:t>
      </w:r>
    </w:p>
    <w:p w:rsidR="008532D9" w:rsidRPr="00020A98" w:rsidRDefault="008532D9">
      <w:pPr>
        <w:pStyle w:val="BodyText2"/>
        <w:ind w:left="1418"/>
        <w:jc w:val="both"/>
        <w:rPr>
          <w:rFonts w:ascii="Garamond" w:hAnsi="Garamond"/>
          <w:b/>
        </w:rPr>
      </w:pPr>
      <w:r w:rsidRPr="00020A98">
        <w:rPr>
          <w:rFonts w:ascii="Garamond" w:hAnsi="Garamond"/>
          <w:b/>
        </w:rPr>
        <w:t>option européenne sur action sans dividendes</w:t>
      </w:r>
    </w:p>
    <w:p w:rsidR="008532D9" w:rsidRPr="00020A98" w:rsidRDefault="008532D9">
      <w:pPr>
        <w:pStyle w:val="BodyText2"/>
        <w:ind w:left="1418" w:hanging="1418"/>
        <w:jc w:val="both"/>
        <w:rPr>
          <w:rFonts w:ascii="Garamond" w:hAnsi="Garamond"/>
          <w:b/>
        </w:rPr>
      </w:pPr>
    </w:p>
    <w:p w:rsidR="008532D9" w:rsidRPr="00020A98" w:rsidRDefault="008532D9">
      <w:pPr>
        <w:pStyle w:val="BodyText2"/>
        <w:ind w:left="1418" w:hanging="1418"/>
        <w:jc w:val="both"/>
        <w:rPr>
          <w:rFonts w:ascii="Garamond" w:hAnsi="Garamond"/>
        </w:rPr>
      </w:pPr>
      <w:r w:rsidRPr="00020A98">
        <w:rPr>
          <w:rFonts w:ascii="Garamond" w:hAnsi="Garamond"/>
          <w:position w:val="-10"/>
        </w:rPr>
        <w:object w:dxaOrig="900" w:dyaOrig="320">
          <v:shape id="_x0000_i1050" type="#_x0000_t75" style="width:45pt;height:15.75pt" o:ole="" fillcolor="window">
            <v:imagedata r:id="rId53" o:title=""/>
          </v:shape>
          <o:OLEObject Type="Embed" ProgID="Equation.3" ShapeID="_x0000_i1050" DrawAspect="Content" ObjectID="_1502972427" r:id="rId54"/>
        </w:object>
      </w:r>
      <w:r w:rsidRPr="00020A98">
        <w:rPr>
          <w:rFonts w:ascii="Garamond" w:hAnsi="Garamond"/>
        </w:rPr>
        <w:tab/>
      </w:r>
      <w:proofErr w:type="gramStart"/>
      <w:r w:rsidRPr="00020A98">
        <w:rPr>
          <w:rFonts w:ascii="Garamond" w:hAnsi="Garamond"/>
        </w:rPr>
        <w:t>donne</w:t>
      </w:r>
      <w:proofErr w:type="gramEnd"/>
      <w:r w:rsidRPr="00020A98">
        <w:rPr>
          <w:rFonts w:ascii="Garamond" w:hAnsi="Garamond"/>
        </w:rPr>
        <w:t xml:space="preserve"> la formule de </w:t>
      </w:r>
      <w:r w:rsidRPr="00020A98">
        <w:rPr>
          <w:rFonts w:ascii="Garamond" w:hAnsi="Garamond"/>
          <w:b/>
          <w:color w:val="0000FF"/>
        </w:rPr>
        <w:t>Merton</w:t>
      </w:r>
      <w:r w:rsidRPr="00020A98">
        <w:rPr>
          <w:rFonts w:ascii="Garamond" w:hAnsi="Garamond"/>
        </w:rPr>
        <w:t xml:space="preserve"> (1973) : </w:t>
      </w:r>
    </w:p>
    <w:p w:rsidR="008532D9" w:rsidRPr="00020A98" w:rsidRDefault="008532D9">
      <w:pPr>
        <w:pStyle w:val="BodyText2"/>
        <w:ind w:left="1418"/>
        <w:jc w:val="both"/>
        <w:rPr>
          <w:rFonts w:ascii="Garamond" w:hAnsi="Garamond"/>
          <w:b/>
        </w:rPr>
      </w:pPr>
      <w:r w:rsidRPr="00020A98">
        <w:rPr>
          <w:rFonts w:ascii="Garamond" w:hAnsi="Garamond"/>
          <w:b/>
        </w:rPr>
        <w:t>option européenne sur une action payant un dividende continu q ou sur  une matière première avec coût de portage q.</w:t>
      </w:r>
    </w:p>
    <w:p w:rsidR="008532D9" w:rsidRPr="00020A98" w:rsidRDefault="008532D9">
      <w:pPr>
        <w:pStyle w:val="BodyText2"/>
        <w:ind w:left="1418" w:hanging="1418"/>
        <w:jc w:val="both"/>
        <w:rPr>
          <w:rFonts w:ascii="Garamond" w:hAnsi="Garamond"/>
          <w:b/>
        </w:rPr>
      </w:pPr>
    </w:p>
    <w:p w:rsidR="008532D9" w:rsidRPr="00020A98" w:rsidRDefault="008532D9">
      <w:pPr>
        <w:pStyle w:val="BodyText2"/>
        <w:jc w:val="both"/>
        <w:rPr>
          <w:rFonts w:ascii="Garamond" w:hAnsi="Garamond"/>
        </w:rPr>
      </w:pPr>
      <w:r w:rsidRPr="00020A98">
        <w:rPr>
          <w:rFonts w:ascii="Garamond" w:hAnsi="Garamond"/>
          <w:position w:val="-6"/>
        </w:rPr>
        <w:object w:dxaOrig="560" w:dyaOrig="279">
          <v:shape id="_x0000_i1051" type="#_x0000_t75" style="width:27.75pt;height:14.25pt" o:ole="" fillcolor="window">
            <v:imagedata r:id="rId55" o:title=""/>
          </v:shape>
          <o:OLEObject Type="Embed" ProgID="Equation.3" ShapeID="_x0000_i1051" DrawAspect="Content" ObjectID="_1502972428" r:id="rId56"/>
        </w:object>
      </w:r>
      <w:r w:rsidRPr="00020A98">
        <w:rPr>
          <w:rFonts w:ascii="Garamond" w:hAnsi="Garamond"/>
        </w:rPr>
        <w:tab/>
      </w:r>
      <w:r w:rsidRPr="00020A98">
        <w:rPr>
          <w:rFonts w:ascii="Garamond" w:hAnsi="Garamond"/>
        </w:rPr>
        <w:tab/>
      </w:r>
      <w:proofErr w:type="gramStart"/>
      <w:r w:rsidRPr="00020A98">
        <w:rPr>
          <w:rFonts w:ascii="Garamond" w:hAnsi="Garamond"/>
        </w:rPr>
        <w:t>donne</w:t>
      </w:r>
      <w:proofErr w:type="gramEnd"/>
      <w:r w:rsidRPr="00020A98">
        <w:rPr>
          <w:rFonts w:ascii="Garamond" w:hAnsi="Garamond"/>
        </w:rPr>
        <w:t xml:space="preserve"> la formule de </w:t>
      </w:r>
      <w:r w:rsidRPr="00020A98">
        <w:rPr>
          <w:rFonts w:ascii="Garamond" w:hAnsi="Garamond"/>
          <w:b/>
          <w:color w:val="0000FF"/>
        </w:rPr>
        <w:t>Black</w:t>
      </w:r>
      <w:r w:rsidRPr="00020A98">
        <w:rPr>
          <w:rFonts w:ascii="Garamond" w:hAnsi="Garamond"/>
        </w:rPr>
        <w:t xml:space="preserve"> (1976) : </w:t>
      </w:r>
    </w:p>
    <w:p w:rsidR="008532D9" w:rsidRPr="00020A98" w:rsidRDefault="008532D9">
      <w:pPr>
        <w:pStyle w:val="BodyText2"/>
        <w:ind w:firstLine="1418"/>
        <w:jc w:val="both"/>
        <w:rPr>
          <w:rFonts w:ascii="Garamond" w:hAnsi="Garamond"/>
          <w:b/>
        </w:rPr>
      </w:pPr>
      <w:r w:rsidRPr="00020A98">
        <w:rPr>
          <w:rFonts w:ascii="Garamond" w:hAnsi="Garamond"/>
          <w:b/>
        </w:rPr>
        <w:t>option sur futur</w:t>
      </w:r>
    </w:p>
    <w:p w:rsidR="008532D9" w:rsidRPr="00020A98" w:rsidRDefault="008532D9">
      <w:pPr>
        <w:pStyle w:val="BodyText2"/>
        <w:jc w:val="both"/>
        <w:rPr>
          <w:rFonts w:ascii="Garamond" w:hAnsi="Garamond"/>
          <w:b/>
        </w:rPr>
      </w:pPr>
    </w:p>
    <w:p w:rsidR="008532D9" w:rsidRPr="00020A98" w:rsidRDefault="008532D9">
      <w:pPr>
        <w:pStyle w:val="BodyText2"/>
        <w:ind w:left="1418" w:hanging="1418"/>
        <w:jc w:val="both"/>
        <w:rPr>
          <w:rFonts w:ascii="Garamond" w:hAnsi="Garamond"/>
        </w:rPr>
      </w:pPr>
      <w:r w:rsidRPr="00020A98">
        <w:rPr>
          <w:rFonts w:ascii="Garamond" w:hAnsi="Garamond"/>
          <w:position w:val="-14"/>
        </w:rPr>
        <w:object w:dxaOrig="820" w:dyaOrig="340">
          <v:shape id="_x0000_i1052" type="#_x0000_t75" style="width:41.25pt;height:17.25pt" o:ole="" fillcolor="window">
            <v:imagedata r:id="rId57" o:title=""/>
          </v:shape>
          <o:OLEObject Type="Embed" ProgID="Equation.3" ShapeID="_x0000_i1052" DrawAspect="Content" ObjectID="_1502972429" r:id="rId58"/>
        </w:object>
      </w:r>
      <w:r w:rsidRPr="00020A98">
        <w:rPr>
          <w:rFonts w:ascii="Garamond" w:hAnsi="Garamond"/>
        </w:rPr>
        <w:tab/>
      </w:r>
      <w:proofErr w:type="gramStart"/>
      <w:r w:rsidRPr="00020A98">
        <w:rPr>
          <w:rFonts w:ascii="Garamond" w:hAnsi="Garamond"/>
        </w:rPr>
        <w:t>donne</w:t>
      </w:r>
      <w:proofErr w:type="gramEnd"/>
      <w:r w:rsidRPr="00020A98">
        <w:rPr>
          <w:rFonts w:ascii="Garamond" w:hAnsi="Garamond"/>
        </w:rPr>
        <w:t xml:space="preserve"> la formule de </w:t>
      </w:r>
      <w:proofErr w:type="spellStart"/>
      <w:r w:rsidRPr="00020A98">
        <w:rPr>
          <w:rFonts w:ascii="Garamond" w:hAnsi="Garamond"/>
          <w:b/>
          <w:color w:val="0000FF"/>
        </w:rPr>
        <w:t>Garman</w:t>
      </w:r>
      <w:proofErr w:type="spellEnd"/>
      <w:r w:rsidRPr="00020A98">
        <w:rPr>
          <w:rFonts w:ascii="Garamond" w:hAnsi="Garamond"/>
          <w:b/>
          <w:color w:val="0000FF"/>
        </w:rPr>
        <w:t xml:space="preserve"> et </w:t>
      </w:r>
      <w:proofErr w:type="spellStart"/>
      <w:r w:rsidRPr="00020A98">
        <w:rPr>
          <w:rFonts w:ascii="Garamond" w:hAnsi="Garamond"/>
          <w:b/>
          <w:color w:val="0000FF"/>
        </w:rPr>
        <w:t>Kohlagen</w:t>
      </w:r>
      <w:proofErr w:type="spellEnd"/>
      <w:r w:rsidRPr="00020A98">
        <w:rPr>
          <w:rFonts w:ascii="Garamond" w:hAnsi="Garamond"/>
        </w:rPr>
        <w:t xml:space="preserve"> (1983) : </w:t>
      </w:r>
    </w:p>
    <w:p w:rsidR="008532D9" w:rsidRPr="00020A98" w:rsidRDefault="008532D9">
      <w:pPr>
        <w:pStyle w:val="BodyText2"/>
        <w:ind w:left="1418"/>
        <w:jc w:val="both"/>
        <w:rPr>
          <w:rFonts w:ascii="Garamond" w:hAnsi="Garamond"/>
        </w:rPr>
      </w:pPr>
      <w:r w:rsidRPr="00020A98">
        <w:rPr>
          <w:rFonts w:ascii="Garamond" w:hAnsi="Garamond"/>
          <w:b/>
        </w:rPr>
        <w:t>option sur taux de change</w:t>
      </w:r>
    </w:p>
    <w:p w:rsidR="008532D9" w:rsidRPr="00020A98" w:rsidRDefault="008532D9">
      <w:pPr>
        <w:pStyle w:val="BodyText2"/>
        <w:jc w:val="both"/>
        <w:rPr>
          <w:rFonts w:ascii="Garamond" w:hAnsi="Garamond"/>
        </w:rPr>
      </w:pPr>
    </w:p>
    <w:p w:rsidR="008532D9" w:rsidRPr="00020A98" w:rsidRDefault="008532D9">
      <w:pPr>
        <w:pStyle w:val="BodyText2"/>
        <w:jc w:val="both"/>
        <w:rPr>
          <w:rFonts w:ascii="Garamond" w:hAnsi="Garamond"/>
        </w:rPr>
      </w:pPr>
      <w:r w:rsidRPr="00020A98">
        <w:rPr>
          <w:rFonts w:ascii="Garamond" w:hAnsi="Garamond"/>
        </w:rPr>
        <w:t>avec</w:t>
      </w:r>
    </w:p>
    <w:p w:rsidR="008532D9" w:rsidRPr="00020A98" w:rsidRDefault="008532D9">
      <w:pPr>
        <w:pStyle w:val="BodyText2"/>
        <w:jc w:val="both"/>
        <w:rPr>
          <w:rFonts w:ascii="Garamond" w:hAnsi="Garamond"/>
        </w:rPr>
      </w:pPr>
    </w:p>
    <w:p w:rsidR="008532D9" w:rsidRPr="00020A98" w:rsidRDefault="008532D9">
      <w:pPr>
        <w:pStyle w:val="BodyText2"/>
        <w:jc w:val="both"/>
        <w:rPr>
          <w:rFonts w:ascii="Garamond" w:hAnsi="Garamond"/>
        </w:rPr>
      </w:pPr>
      <w:r w:rsidRPr="00020A98">
        <w:rPr>
          <w:rFonts w:ascii="Garamond" w:hAnsi="Garamond"/>
        </w:rPr>
        <w:lastRenderedPageBreak/>
        <w:t xml:space="preserve">S </w:t>
      </w:r>
      <w:r w:rsidRPr="00020A98">
        <w:rPr>
          <w:rFonts w:ascii="Garamond" w:hAnsi="Garamond"/>
        </w:rPr>
        <w:tab/>
      </w:r>
      <w:r w:rsidRPr="00020A98">
        <w:rPr>
          <w:rFonts w:ascii="Garamond" w:hAnsi="Garamond"/>
        </w:rPr>
        <w:tab/>
        <w:t xml:space="preserve">prix du </w:t>
      </w:r>
      <w:proofErr w:type="spellStart"/>
      <w:r w:rsidRPr="00020A98">
        <w:rPr>
          <w:rFonts w:ascii="Garamond" w:hAnsi="Garamond"/>
        </w:rPr>
        <w:t>sous jacent</w:t>
      </w:r>
      <w:proofErr w:type="spellEnd"/>
    </w:p>
    <w:p w:rsidR="008532D9" w:rsidRPr="00020A98" w:rsidRDefault="008532D9">
      <w:pPr>
        <w:pStyle w:val="BodyText2"/>
        <w:jc w:val="both"/>
        <w:rPr>
          <w:rFonts w:ascii="Garamond" w:hAnsi="Garamond"/>
        </w:rPr>
      </w:pPr>
      <w:r w:rsidRPr="00020A98">
        <w:rPr>
          <w:rFonts w:ascii="Garamond" w:hAnsi="Garamond"/>
        </w:rPr>
        <w:t>X</w:t>
      </w:r>
      <w:r w:rsidRPr="00020A98">
        <w:rPr>
          <w:rFonts w:ascii="Garamond" w:hAnsi="Garamond"/>
        </w:rPr>
        <w:tab/>
      </w:r>
      <w:r w:rsidRPr="00020A98">
        <w:rPr>
          <w:rFonts w:ascii="Garamond" w:hAnsi="Garamond"/>
        </w:rPr>
        <w:tab/>
        <w:t>prix d’exercice</w:t>
      </w:r>
    </w:p>
    <w:p w:rsidR="008532D9" w:rsidRPr="00020A98" w:rsidRDefault="008532D9">
      <w:pPr>
        <w:pStyle w:val="BodyText2"/>
        <w:jc w:val="both"/>
        <w:rPr>
          <w:rFonts w:ascii="Garamond" w:hAnsi="Garamond"/>
        </w:rPr>
      </w:pPr>
      <w:r w:rsidRPr="00020A98">
        <w:rPr>
          <w:rFonts w:ascii="Garamond" w:hAnsi="Garamond"/>
        </w:rPr>
        <w:t>T</w:t>
      </w:r>
      <w:r w:rsidRPr="00020A98">
        <w:rPr>
          <w:rFonts w:ascii="Garamond" w:hAnsi="Garamond"/>
        </w:rPr>
        <w:tab/>
      </w:r>
      <w:r w:rsidRPr="00020A98">
        <w:rPr>
          <w:rFonts w:ascii="Garamond" w:hAnsi="Garamond"/>
        </w:rPr>
        <w:tab/>
        <w:t>échéance de l’option mesurée en année</w:t>
      </w:r>
    </w:p>
    <w:p w:rsidR="008532D9" w:rsidRPr="00020A98" w:rsidRDefault="008532D9">
      <w:pPr>
        <w:pStyle w:val="BodyText2"/>
        <w:jc w:val="both"/>
        <w:rPr>
          <w:rFonts w:ascii="Garamond" w:hAnsi="Garamond"/>
        </w:rPr>
      </w:pPr>
      <w:r w:rsidRPr="00020A98">
        <w:rPr>
          <w:rFonts w:ascii="Garamond" w:hAnsi="Garamond"/>
        </w:rPr>
        <w:t>r</w:t>
      </w:r>
      <w:r w:rsidRPr="00020A98">
        <w:rPr>
          <w:rFonts w:ascii="Garamond" w:hAnsi="Garamond"/>
        </w:rPr>
        <w:tab/>
      </w:r>
      <w:r w:rsidRPr="00020A98">
        <w:rPr>
          <w:rFonts w:ascii="Garamond" w:hAnsi="Garamond"/>
        </w:rPr>
        <w:tab/>
        <w:t>taux sans risque domestique supposé constant dans le temps</w:t>
      </w:r>
    </w:p>
    <w:p w:rsidR="008532D9" w:rsidRPr="00020A98" w:rsidRDefault="008532D9">
      <w:pPr>
        <w:pStyle w:val="BodyText2"/>
        <w:jc w:val="both"/>
        <w:rPr>
          <w:rFonts w:ascii="Garamond" w:hAnsi="Garamond"/>
        </w:rPr>
      </w:pPr>
      <w:proofErr w:type="spellStart"/>
      <w:r w:rsidRPr="00020A98">
        <w:rPr>
          <w:rFonts w:ascii="Garamond" w:hAnsi="Garamond"/>
        </w:rPr>
        <w:t>r</w:t>
      </w:r>
      <w:r w:rsidRPr="00020A98">
        <w:rPr>
          <w:rFonts w:ascii="Garamond" w:hAnsi="Garamond"/>
          <w:vertAlign w:val="subscript"/>
        </w:rPr>
        <w:t>f</w:t>
      </w:r>
      <w:proofErr w:type="spellEnd"/>
      <w:r w:rsidRPr="00020A98">
        <w:rPr>
          <w:rFonts w:ascii="Garamond" w:hAnsi="Garamond"/>
        </w:rPr>
        <w:tab/>
      </w:r>
      <w:r w:rsidRPr="00020A98">
        <w:rPr>
          <w:rFonts w:ascii="Garamond" w:hAnsi="Garamond"/>
        </w:rPr>
        <w:tab/>
        <w:t xml:space="preserve">taux sans risque </w:t>
      </w:r>
      <w:proofErr w:type="spellStart"/>
      <w:r w:rsidRPr="00020A98">
        <w:rPr>
          <w:rFonts w:ascii="Garamond" w:hAnsi="Garamond"/>
        </w:rPr>
        <w:t>foreign</w:t>
      </w:r>
      <w:proofErr w:type="spellEnd"/>
      <w:r w:rsidRPr="00020A98">
        <w:rPr>
          <w:rFonts w:ascii="Garamond" w:hAnsi="Garamond"/>
        </w:rPr>
        <w:t xml:space="preserve"> constant</w:t>
      </w:r>
    </w:p>
    <w:p w:rsidR="008532D9" w:rsidRPr="00020A98" w:rsidRDefault="008532D9">
      <w:pPr>
        <w:pStyle w:val="BodyText2"/>
        <w:jc w:val="both"/>
        <w:rPr>
          <w:rFonts w:ascii="Garamond" w:hAnsi="Garamond"/>
        </w:rPr>
      </w:pPr>
      <w:r w:rsidRPr="00020A98">
        <w:rPr>
          <w:rFonts w:ascii="Garamond" w:hAnsi="Garamond"/>
          <w:position w:val="-6"/>
        </w:rPr>
        <w:object w:dxaOrig="220" w:dyaOrig="200">
          <v:shape id="_x0000_i1053" type="#_x0000_t75" style="width:11.25pt;height:9.75pt" o:ole="" fillcolor="window">
            <v:imagedata r:id="rId59" o:title=""/>
          </v:shape>
          <o:OLEObject Type="Embed" ProgID="Equation.3" ShapeID="_x0000_i1053" DrawAspect="Content" ObjectID="_1502972430" r:id="rId60"/>
        </w:object>
      </w:r>
      <w:r w:rsidRPr="00020A98">
        <w:rPr>
          <w:rFonts w:ascii="Garamond" w:hAnsi="Garamond"/>
        </w:rPr>
        <w:tab/>
      </w:r>
      <w:r w:rsidRPr="00020A98">
        <w:rPr>
          <w:rFonts w:ascii="Garamond" w:hAnsi="Garamond"/>
        </w:rPr>
        <w:tab/>
      </w:r>
      <w:proofErr w:type="gramStart"/>
      <w:r w:rsidRPr="00020A98">
        <w:rPr>
          <w:rFonts w:ascii="Garamond" w:hAnsi="Garamond"/>
        </w:rPr>
        <w:t>volatilité</w:t>
      </w:r>
      <w:proofErr w:type="gramEnd"/>
      <w:r w:rsidRPr="00020A98">
        <w:rPr>
          <w:rFonts w:ascii="Garamond" w:hAnsi="Garamond"/>
        </w:rPr>
        <w:t xml:space="preserve"> logarithmique du </w:t>
      </w:r>
      <w:proofErr w:type="spellStart"/>
      <w:r w:rsidRPr="00020A98">
        <w:rPr>
          <w:rFonts w:ascii="Garamond" w:hAnsi="Garamond"/>
        </w:rPr>
        <w:t>sous jacent</w:t>
      </w:r>
      <w:proofErr w:type="spellEnd"/>
      <w:r w:rsidRPr="00020A98">
        <w:rPr>
          <w:rFonts w:ascii="Garamond" w:hAnsi="Garamond"/>
        </w:rPr>
        <w:t xml:space="preserve"> supposée constante dans le temps</w:t>
      </w:r>
    </w:p>
    <w:p w:rsidR="008532D9" w:rsidRPr="00020A98" w:rsidRDefault="008532D9">
      <w:pPr>
        <w:pStyle w:val="BodyText2"/>
        <w:jc w:val="both"/>
        <w:rPr>
          <w:rFonts w:ascii="Garamond" w:hAnsi="Garamond"/>
        </w:rPr>
      </w:pPr>
      <w:r w:rsidRPr="00020A98">
        <w:rPr>
          <w:rFonts w:ascii="Garamond" w:hAnsi="Garamond"/>
        </w:rPr>
        <w:t>N</w:t>
      </w:r>
      <w:r w:rsidRPr="00020A98">
        <w:rPr>
          <w:rFonts w:ascii="Garamond" w:hAnsi="Garamond"/>
        </w:rPr>
        <w:tab/>
      </w:r>
      <w:r w:rsidRPr="00020A98">
        <w:rPr>
          <w:rFonts w:ascii="Garamond" w:hAnsi="Garamond"/>
        </w:rPr>
        <w:tab/>
        <w:t>fonction de répartition d’une loi normale centrée réduite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rPr>
          <w:rFonts w:ascii="Garamond" w:hAnsi="Garamond"/>
        </w:rPr>
      </w:pPr>
      <w:r w:rsidRPr="00020A98">
        <w:rPr>
          <w:rFonts w:ascii="Garamond" w:hAnsi="Garamond"/>
        </w:rPr>
        <w:t>Cours 4</w:t>
      </w: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pStyle w:val="Heading1"/>
        <w:rPr>
          <w:rFonts w:ascii="Garamond" w:hAnsi="Garamond"/>
          <w:sz w:val="22"/>
        </w:rPr>
      </w:pPr>
      <w:r w:rsidRPr="00020A98">
        <w:rPr>
          <w:rFonts w:ascii="Garamond" w:hAnsi="Garamond"/>
          <w:sz w:val="22"/>
        </w:rPr>
        <w:t>Question 6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snapToGrid w:val="0"/>
          <w:u w:val="none"/>
        </w:rPr>
      </w:pPr>
      <w:r w:rsidRPr="00020A98">
        <w:rPr>
          <w:rFonts w:ascii="Garamond" w:hAnsi="Garamond"/>
          <w:b w:val="0"/>
          <w:caps w:val="0"/>
          <w:snapToGrid w:val="0"/>
          <w:u w:val="none"/>
        </w:rPr>
        <w:t>Option sur futur : On considère les deux options achats / ventes sur le futur dons la valeur vaut 19. Le prix d’exercice est 19, la volatilité est 28% par an le taux sans risque est de 10% d’échéance 9 mois.</w:t>
      </w:r>
    </w:p>
    <w:p w:rsidR="008532D9" w:rsidRPr="00020A98" w:rsidRDefault="008532D9">
      <w:pPr>
        <w:rPr>
          <w:rFonts w:ascii="Garamond" w:hAnsi="Garamond"/>
          <w:b w:val="0"/>
          <w:caps w:val="0"/>
          <w:snapToGrid w:val="0"/>
          <w:u w:val="none"/>
        </w:rPr>
      </w:pPr>
    </w:p>
    <w:p w:rsidR="008532D9" w:rsidRPr="00020A98" w:rsidRDefault="008532D9">
      <w:pPr>
        <w:jc w:val="center"/>
        <w:rPr>
          <w:rFonts w:ascii="Garamond" w:hAnsi="Garamond"/>
          <w:b w:val="0"/>
          <w:caps w:val="0"/>
          <w:sz w:val="20"/>
          <w:u w:val="none"/>
        </w:rPr>
      </w:pPr>
      <w:r w:rsidRPr="00020A98">
        <w:rPr>
          <w:rFonts w:ascii="Garamond" w:hAnsi="Garamond"/>
          <w:b w:val="0"/>
          <w:caps w:val="0"/>
          <w:position w:val="-26"/>
          <w:sz w:val="20"/>
          <w:u w:val="none"/>
        </w:rPr>
        <w:object w:dxaOrig="3519" w:dyaOrig="639">
          <v:shape id="_x0000_i1054" type="#_x0000_t75" style="width:176.25pt;height:32.25pt" o:ole="" fillcolor="window">
            <v:imagedata r:id="rId61" o:title=""/>
          </v:shape>
          <o:OLEObject Type="Embed" ProgID="Equation.3" ShapeID="_x0000_i1054" DrawAspect="Content" ObjectID="_1502972431" r:id="rId62"/>
        </w:object>
      </w:r>
    </w:p>
    <w:p w:rsidR="008532D9" w:rsidRPr="00020A98" w:rsidRDefault="008532D9">
      <w:pPr>
        <w:jc w:val="center"/>
        <w:rPr>
          <w:rFonts w:ascii="Garamond" w:hAnsi="Garamond"/>
          <w:b w:val="0"/>
          <w:caps w:val="0"/>
          <w:sz w:val="20"/>
          <w:u w:val="none"/>
        </w:rPr>
      </w:pPr>
    </w:p>
    <w:p w:rsidR="008532D9" w:rsidRPr="00020A98" w:rsidRDefault="008532D9">
      <w:pPr>
        <w:jc w:val="center"/>
        <w:rPr>
          <w:rFonts w:ascii="Garamond" w:hAnsi="Garamond"/>
          <w:b w:val="0"/>
          <w:caps w:val="0"/>
          <w:sz w:val="20"/>
          <w:u w:val="none"/>
        </w:rPr>
      </w:pPr>
      <w:r w:rsidRPr="00020A98">
        <w:rPr>
          <w:rFonts w:ascii="Garamond" w:hAnsi="Garamond"/>
          <w:b w:val="0"/>
          <w:caps w:val="0"/>
          <w:position w:val="-8"/>
          <w:sz w:val="20"/>
          <w:u w:val="none"/>
        </w:rPr>
        <w:object w:dxaOrig="2580" w:dyaOrig="340">
          <v:shape id="_x0000_i1055" type="#_x0000_t75" style="width:129pt;height:17.25pt" o:ole="" fillcolor="window">
            <v:imagedata r:id="rId63" o:title=""/>
          </v:shape>
          <o:OLEObject Type="Embed" ProgID="Equation.3" ShapeID="_x0000_i1055" DrawAspect="Content" ObjectID="_1502972432" r:id="rId64"/>
        </w:object>
      </w:r>
    </w:p>
    <w:p w:rsidR="008532D9" w:rsidRPr="00020A98" w:rsidRDefault="008532D9">
      <w:pPr>
        <w:jc w:val="center"/>
        <w:rPr>
          <w:rFonts w:ascii="Garamond" w:hAnsi="Garamond"/>
          <w:b w:val="0"/>
          <w:caps w:val="0"/>
          <w:sz w:val="20"/>
          <w:u w:val="none"/>
        </w:rPr>
      </w:pPr>
      <w:r w:rsidRPr="00020A98">
        <w:rPr>
          <w:rFonts w:ascii="Garamond" w:hAnsi="Garamond"/>
          <w:b w:val="0"/>
          <w:caps w:val="0"/>
          <w:position w:val="-10"/>
          <w:sz w:val="20"/>
          <w:u w:val="none"/>
        </w:rPr>
        <w:object w:dxaOrig="3519" w:dyaOrig="340">
          <v:shape id="_x0000_i1056" type="#_x0000_t75" style="width:176.25pt;height:17.25pt" o:ole="" fillcolor="window">
            <v:imagedata r:id="rId65" o:title=""/>
          </v:shape>
          <o:OLEObject Type="Embed" ProgID="Equation.3" ShapeID="_x0000_i1056" DrawAspect="Content" ObjectID="_1502972433" r:id="rId66"/>
        </w:object>
      </w:r>
    </w:p>
    <w:p w:rsidR="008532D9" w:rsidRPr="00020A98" w:rsidRDefault="008532D9">
      <w:pPr>
        <w:jc w:val="center"/>
        <w:rPr>
          <w:rFonts w:ascii="Garamond" w:hAnsi="Garamond"/>
          <w:b w:val="0"/>
          <w:caps w:val="0"/>
          <w:snapToGrid w:val="0"/>
          <w:u w:val="none"/>
        </w:rPr>
      </w:pPr>
      <w:r w:rsidRPr="00020A98">
        <w:rPr>
          <w:rFonts w:ascii="Garamond" w:hAnsi="Garamond"/>
          <w:b w:val="0"/>
          <w:caps w:val="0"/>
          <w:position w:val="-10"/>
          <w:sz w:val="20"/>
          <w:u w:val="none"/>
        </w:rPr>
        <w:object w:dxaOrig="3820" w:dyaOrig="340">
          <v:shape id="_x0000_i1057" type="#_x0000_t75" style="width:191.25pt;height:17.25pt" o:ole="" fillcolor="window">
            <v:imagedata r:id="rId67" o:title=""/>
          </v:shape>
          <o:OLEObject Type="Embed" ProgID="Equation.3" ShapeID="_x0000_i1057" DrawAspect="Content" ObjectID="_1502972434" r:id="rId68"/>
        </w:object>
      </w:r>
    </w:p>
    <w:p w:rsidR="008532D9" w:rsidRPr="00020A98" w:rsidRDefault="008532D9">
      <w:pPr>
        <w:rPr>
          <w:rFonts w:ascii="Garamond" w:hAnsi="Garamond"/>
          <w:b w:val="0"/>
          <w:caps w:val="0"/>
          <w:snapToGrid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snapToGrid w:val="0"/>
          <w:u w:val="none"/>
        </w:rPr>
      </w:pPr>
    </w:p>
    <w:p w:rsidR="008532D9" w:rsidRPr="00020A98" w:rsidRDefault="008532D9">
      <w:pPr>
        <w:pStyle w:val="Heading3"/>
        <w:rPr>
          <w:rFonts w:ascii="Garamond" w:hAnsi="Garamond"/>
        </w:rPr>
      </w:pPr>
      <w:r w:rsidRPr="00020A98">
        <w:rPr>
          <w:rFonts w:ascii="Garamond" w:hAnsi="Garamond"/>
        </w:rPr>
        <w:t>Question 7</w:t>
      </w:r>
    </w:p>
    <w:p w:rsidR="008532D9" w:rsidRPr="00020A98" w:rsidRDefault="008532D9">
      <w:pPr>
        <w:rPr>
          <w:rFonts w:ascii="Garamond" w:hAnsi="Garamond"/>
          <w:b w:val="0"/>
          <w:caps w:val="0"/>
          <w:snapToGrid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snapToGrid w:val="0"/>
          <w:u w:val="none"/>
        </w:rPr>
      </w:pPr>
      <w:r w:rsidRPr="00020A98">
        <w:rPr>
          <w:rFonts w:ascii="Garamond" w:hAnsi="Garamond"/>
          <w:b w:val="0"/>
          <w:caps w:val="0"/>
          <w:snapToGrid w:val="0"/>
          <w:u w:val="none"/>
        </w:rPr>
        <w:t xml:space="preserve">Quelle est la différence entre une option européenne et une option américaine. </w:t>
      </w:r>
    </w:p>
    <w:p w:rsidR="008532D9" w:rsidRPr="00020A98" w:rsidRDefault="008532D9">
      <w:pPr>
        <w:rPr>
          <w:rFonts w:ascii="Garamond" w:hAnsi="Garamond"/>
          <w:b w:val="0"/>
          <w:caps w:val="0"/>
          <w:snapToGrid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  <w:r w:rsidRPr="00020A98">
        <w:rPr>
          <w:rFonts w:ascii="Garamond" w:hAnsi="Garamond"/>
          <w:b w:val="0"/>
          <w:caps w:val="0"/>
          <w:snapToGrid w:val="0"/>
          <w:u w:val="none"/>
        </w:rPr>
        <w:t>L’option européenne ne peut être exercée qu’à son échéance, l’option américaine peut être exercée à chaque instant entre sa conclusion et son échéance.</w:t>
      </w:r>
    </w:p>
    <w:p w:rsidR="008532D9" w:rsidRPr="00020A98" w:rsidRDefault="008532D9">
      <w:pPr>
        <w:rPr>
          <w:rFonts w:ascii="Garamond" w:hAnsi="Garamond"/>
        </w:rPr>
      </w:pPr>
    </w:p>
    <w:p w:rsidR="008532D9" w:rsidRPr="00020A98" w:rsidRDefault="008532D9">
      <w:pPr>
        <w:pStyle w:val="Heading1"/>
        <w:rPr>
          <w:rFonts w:ascii="Garamond" w:hAnsi="Garamond"/>
          <w:sz w:val="22"/>
        </w:rPr>
      </w:pPr>
      <w:r w:rsidRPr="00020A98">
        <w:rPr>
          <w:rFonts w:ascii="Garamond" w:hAnsi="Garamond"/>
          <w:sz w:val="22"/>
        </w:rPr>
        <w:t>Question 8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  <w:r w:rsidRPr="00020A98">
        <w:rPr>
          <w:rFonts w:ascii="Garamond" w:hAnsi="Garamond"/>
          <w:b w:val="0"/>
          <w:caps w:val="0"/>
          <w:u w:val="none"/>
        </w:rPr>
        <w:t xml:space="preserve">Tracer sur un graphique le </w:t>
      </w:r>
      <w:proofErr w:type="spellStart"/>
      <w:r w:rsidRPr="00020A98">
        <w:rPr>
          <w:rFonts w:ascii="Garamond" w:hAnsi="Garamond"/>
          <w:b w:val="0"/>
          <w:caps w:val="0"/>
          <w:u w:val="none"/>
        </w:rPr>
        <w:t>pay</w:t>
      </w:r>
      <w:proofErr w:type="spellEnd"/>
      <w:r w:rsidRPr="00020A98">
        <w:rPr>
          <w:rFonts w:ascii="Garamond" w:hAnsi="Garamond"/>
          <w:b w:val="0"/>
          <w:caps w:val="0"/>
          <w:u w:val="none"/>
        </w:rPr>
        <w:t xml:space="preserve"> off à l’échéance, en fonction du sous-jacent la stratégie suivante :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  <w:r w:rsidRPr="00020A98">
        <w:rPr>
          <w:rFonts w:ascii="Garamond" w:hAnsi="Garamond"/>
          <w:b w:val="0"/>
          <w:caps w:val="0"/>
          <w:u w:val="none"/>
        </w:rPr>
        <w:t xml:space="preserve">Vente d’un call de </w:t>
      </w:r>
      <w:proofErr w:type="spellStart"/>
      <w:r w:rsidRPr="00020A98">
        <w:rPr>
          <w:rFonts w:ascii="Garamond" w:hAnsi="Garamond"/>
          <w:b w:val="0"/>
          <w:caps w:val="0"/>
          <w:u w:val="none"/>
        </w:rPr>
        <w:t>strike</w:t>
      </w:r>
      <w:proofErr w:type="spellEnd"/>
      <w:r w:rsidRPr="00020A98">
        <w:rPr>
          <w:rFonts w:ascii="Garamond" w:hAnsi="Garamond"/>
          <w:b w:val="0"/>
          <w:caps w:val="0"/>
          <w:u w:val="none"/>
        </w:rPr>
        <w:t xml:space="preserve"> 50.</w:t>
      </w:r>
    </w:p>
    <w:p w:rsidR="008532D9" w:rsidRPr="00020A98" w:rsidRDefault="008532D9">
      <w:pPr>
        <w:rPr>
          <w:rFonts w:ascii="Garamond" w:hAnsi="Garamond"/>
          <w:b w:val="0"/>
          <w:caps w:val="0"/>
          <w:u w:val="none"/>
        </w:rPr>
      </w:pPr>
      <w:r w:rsidRPr="00020A98">
        <w:rPr>
          <w:rFonts w:ascii="Garamond" w:hAnsi="Garamond"/>
          <w:b w:val="0"/>
          <w:caps w:val="0"/>
          <w:u w:val="none"/>
        </w:rPr>
        <w:t xml:space="preserve">Achat d’un Put de </w:t>
      </w:r>
      <w:proofErr w:type="spellStart"/>
      <w:r w:rsidRPr="00020A98">
        <w:rPr>
          <w:rFonts w:ascii="Garamond" w:hAnsi="Garamond"/>
          <w:b w:val="0"/>
          <w:caps w:val="0"/>
          <w:u w:val="none"/>
        </w:rPr>
        <w:t>strike</w:t>
      </w:r>
      <w:proofErr w:type="spellEnd"/>
      <w:r w:rsidRPr="00020A98">
        <w:rPr>
          <w:rFonts w:ascii="Garamond" w:hAnsi="Garamond"/>
          <w:b w:val="0"/>
          <w:caps w:val="0"/>
          <w:u w:val="none"/>
        </w:rPr>
        <w:t xml:space="preserve"> 55.</w:t>
      </w:r>
    </w:p>
    <w:p w:rsidR="008532D9" w:rsidRPr="00020A98" w:rsidRDefault="008532D9">
      <w:pPr>
        <w:rPr>
          <w:rFonts w:ascii="Garamond" w:hAnsi="Garamond"/>
          <w:b w:val="0"/>
          <w:caps w:val="0"/>
          <w:sz w:val="20"/>
          <w:u w:val="none"/>
        </w:rPr>
      </w:pPr>
      <w:r w:rsidRPr="00020A98">
        <w:rPr>
          <w:rFonts w:ascii="Garamond" w:hAnsi="Garamond"/>
          <w:b w:val="0"/>
          <w:caps w:val="0"/>
          <w:u w:val="none"/>
        </w:rPr>
        <w:t>Achat d’un contrat à terme de prix d’exercice 52.5</w:t>
      </w:r>
    </w:p>
    <w:p w:rsidR="008532D9" w:rsidRPr="00020A98" w:rsidRDefault="001221C4">
      <w:pPr>
        <w:rPr>
          <w:rFonts w:ascii="Garamond" w:hAnsi="Garamond"/>
          <w:b w:val="0"/>
          <w:caps w:val="0"/>
          <w:sz w:val="20"/>
          <w:u w:val="none"/>
        </w:rPr>
      </w:pPr>
      <w:r>
        <w:rPr>
          <w:rFonts w:ascii="Garamond" w:hAnsi="Garamond"/>
          <w:noProof/>
        </w:rPr>
        <w:lastRenderedPageBreak/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62575" cy="3657600"/>
            <wp:effectExtent l="0" t="0" r="0" b="0"/>
            <wp:wrapTopAndBottom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2D9" w:rsidRPr="00020A98" w:rsidRDefault="008532D9">
      <w:pPr>
        <w:rPr>
          <w:rFonts w:ascii="Garamond" w:hAnsi="Garamond"/>
          <w:b w:val="0"/>
          <w:caps w:val="0"/>
          <w:sz w:val="2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sz w:val="2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sz w:val="20"/>
          <w:u w:val="none"/>
        </w:rPr>
      </w:pPr>
    </w:p>
    <w:p w:rsidR="008532D9" w:rsidRPr="00020A98" w:rsidRDefault="008532D9">
      <w:pPr>
        <w:rPr>
          <w:rFonts w:ascii="Garamond" w:hAnsi="Garamond"/>
          <w:b w:val="0"/>
          <w:caps w:val="0"/>
          <w:sz w:val="20"/>
          <w:u w:val="none"/>
        </w:rPr>
      </w:pPr>
    </w:p>
    <w:p w:rsidR="00A04699" w:rsidRDefault="00A04699" w:rsidP="00A04699">
      <w:pPr>
        <w:pStyle w:val="Heading3"/>
      </w:pPr>
      <w:r>
        <w:t>Table de la loi Normale</w:t>
      </w:r>
    </w:p>
    <w:p w:rsidR="00A04699" w:rsidRDefault="00A04699" w:rsidP="00A04699">
      <w:pPr>
        <w:jc w:val="center"/>
        <w:rPr>
          <w:rFonts w:ascii="Verdana" w:hAnsi="Verdana"/>
          <w:caps w:val="0"/>
          <w:color w:val="0000FF"/>
          <w:sz w:val="32"/>
          <w:u w:val="none"/>
        </w:rPr>
      </w:pPr>
    </w:p>
    <w:p w:rsidR="00A04699" w:rsidRDefault="00A04699" w:rsidP="00A04699">
      <w:pPr>
        <w:jc w:val="center"/>
        <w:rPr>
          <w:rFonts w:ascii="Verdana" w:hAnsi="Verdana"/>
          <w:caps w:val="0"/>
          <w:color w:val="0000FF"/>
          <w:sz w:val="32"/>
          <w:u w:val="none"/>
        </w:rPr>
      </w:pPr>
    </w:p>
    <w:p w:rsidR="00A04699" w:rsidRDefault="00A04699" w:rsidP="00A04699">
      <w:pPr>
        <w:rPr>
          <w:rFonts w:ascii="Arial" w:hAnsi="Arial"/>
        </w:rPr>
      </w:pPr>
      <w:r>
        <w:rPr>
          <w:rFonts w:ascii="Verdana" w:hAnsi="Verdana"/>
          <w:caps w:val="0"/>
          <w:noProof/>
          <w:color w:val="0000FF"/>
          <w:sz w:val="32"/>
          <w:u w:val="none"/>
        </w:rPr>
        <w:lastRenderedPageBreak/>
        <w:drawing>
          <wp:inline distT="0" distB="0" distL="0" distR="0">
            <wp:extent cx="5753100" cy="7867650"/>
            <wp:effectExtent l="0" t="0" r="0" b="0"/>
            <wp:docPr id="1" name="Picture 1" descr="imprime\MOI\loi n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prime\MOI\loi norm.gif"/>
                    <pic:cNvPicPr>
                      <a:picLocks noChangeAspect="1" noChangeArrowheads="1"/>
                    </pic:cNvPicPr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2D9" w:rsidRPr="00020A98" w:rsidRDefault="008532D9">
      <w:pPr>
        <w:rPr>
          <w:rFonts w:ascii="Garamond" w:hAnsi="Garamond"/>
          <w:b w:val="0"/>
          <w:caps w:val="0"/>
          <w:sz w:val="20"/>
          <w:u w:val="none"/>
        </w:rPr>
      </w:pPr>
    </w:p>
    <w:sectPr w:rsidR="008532D9" w:rsidRPr="00020A98" w:rsidSect="001221C4">
      <w:pgSz w:w="11906" w:h="16838"/>
      <w:pgMar w:top="709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1AA62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17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D153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4D30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6345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4706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940F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475F4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B453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1D526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D9"/>
    <w:rsid w:val="00020A98"/>
    <w:rsid w:val="00097EAA"/>
    <w:rsid w:val="000D758C"/>
    <w:rsid w:val="001221C4"/>
    <w:rsid w:val="0048580D"/>
    <w:rsid w:val="00654DA9"/>
    <w:rsid w:val="007A018B"/>
    <w:rsid w:val="008532D9"/>
    <w:rsid w:val="00A04699"/>
    <w:rsid w:val="00F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aps/>
      <w:sz w:val="22"/>
      <w:u w:val="singl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caps w:val="0"/>
      <w:sz w:val="20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color w:val="0000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TE1AA62F8t00" w:hAnsi="TTE1AA62F8t00"/>
      <w:caps w:val="0"/>
      <w:snapToGrid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caps w:val="0"/>
      <w:color w:val="0000FF"/>
      <w:u w:val="none"/>
    </w:rPr>
  </w:style>
  <w:style w:type="paragraph" w:styleId="BodyText">
    <w:name w:val="Body Text"/>
    <w:basedOn w:val="Normal"/>
    <w:pPr>
      <w:jc w:val="both"/>
    </w:pPr>
    <w:rPr>
      <w:rFonts w:ascii="Verdana" w:hAnsi="Verdana"/>
      <w:b w:val="0"/>
      <w:caps w:val="0"/>
      <w:snapToGrid w:val="0"/>
      <w:sz w:val="20"/>
      <w:u w:val="none"/>
    </w:rPr>
  </w:style>
  <w:style w:type="paragraph" w:styleId="BodyText2">
    <w:name w:val="Body Text 2"/>
    <w:basedOn w:val="Normal"/>
    <w:rPr>
      <w:rFonts w:ascii="Arial" w:hAnsi="Arial"/>
      <w:b w:val="0"/>
      <w:caps w:val="0"/>
      <w:sz w:val="20"/>
      <w:u w:val="none"/>
    </w:rPr>
  </w:style>
  <w:style w:type="paragraph" w:styleId="Caption">
    <w:name w:val="caption"/>
    <w:basedOn w:val="Normal"/>
    <w:next w:val="Normal"/>
    <w:qFormat/>
    <w:rPr>
      <w:b w:val="0"/>
      <w:u w:val="none"/>
    </w:rPr>
  </w:style>
  <w:style w:type="paragraph" w:styleId="BodyText3">
    <w:name w:val="Body Text 3"/>
    <w:basedOn w:val="Normal"/>
    <w:rPr>
      <w:rFonts w:ascii="Verdana" w:hAnsi="Verdana"/>
      <w:b w:val="0"/>
      <w:caps w:val="0"/>
      <w:u w:val="none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color w:val="0000FF"/>
      <w:u w:val="none"/>
    </w:rPr>
  </w:style>
  <w:style w:type="paragraph" w:styleId="BalloonText">
    <w:name w:val="Balloon Text"/>
    <w:basedOn w:val="Normal"/>
    <w:link w:val="BalloonTextChar"/>
    <w:rsid w:val="00A0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699"/>
    <w:rPr>
      <w:rFonts w:ascii="Tahoma" w:hAnsi="Tahoma" w:cs="Tahoma"/>
      <w:b/>
      <w:caps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aps/>
      <w:sz w:val="22"/>
      <w:u w:val="singl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caps w:val="0"/>
      <w:sz w:val="20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color w:val="0000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TE1AA62F8t00" w:hAnsi="TTE1AA62F8t00"/>
      <w:caps w:val="0"/>
      <w:snapToGrid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caps w:val="0"/>
      <w:color w:val="0000FF"/>
      <w:u w:val="none"/>
    </w:rPr>
  </w:style>
  <w:style w:type="paragraph" w:styleId="BodyText">
    <w:name w:val="Body Text"/>
    <w:basedOn w:val="Normal"/>
    <w:pPr>
      <w:jc w:val="both"/>
    </w:pPr>
    <w:rPr>
      <w:rFonts w:ascii="Verdana" w:hAnsi="Verdana"/>
      <w:b w:val="0"/>
      <w:caps w:val="0"/>
      <w:snapToGrid w:val="0"/>
      <w:sz w:val="20"/>
      <w:u w:val="none"/>
    </w:rPr>
  </w:style>
  <w:style w:type="paragraph" w:styleId="BodyText2">
    <w:name w:val="Body Text 2"/>
    <w:basedOn w:val="Normal"/>
    <w:rPr>
      <w:rFonts w:ascii="Arial" w:hAnsi="Arial"/>
      <w:b w:val="0"/>
      <w:caps w:val="0"/>
      <w:sz w:val="20"/>
      <w:u w:val="none"/>
    </w:rPr>
  </w:style>
  <w:style w:type="paragraph" w:styleId="Caption">
    <w:name w:val="caption"/>
    <w:basedOn w:val="Normal"/>
    <w:next w:val="Normal"/>
    <w:qFormat/>
    <w:rPr>
      <w:b w:val="0"/>
      <w:u w:val="none"/>
    </w:rPr>
  </w:style>
  <w:style w:type="paragraph" w:styleId="BodyText3">
    <w:name w:val="Body Text 3"/>
    <w:basedOn w:val="Normal"/>
    <w:rPr>
      <w:rFonts w:ascii="Verdana" w:hAnsi="Verdana"/>
      <w:b w:val="0"/>
      <w:caps w:val="0"/>
      <w:u w:val="none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color w:val="0000FF"/>
      <w:u w:val="none"/>
    </w:rPr>
  </w:style>
  <w:style w:type="paragraph" w:styleId="BalloonText">
    <w:name w:val="Balloon Text"/>
    <w:basedOn w:val="Normal"/>
    <w:link w:val="BalloonTextChar"/>
    <w:rsid w:val="00A0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699"/>
    <w:rPr>
      <w:rFonts w:ascii="Tahoma" w:hAnsi="Tahoma" w:cs="Tahoma"/>
      <w:b/>
      <w:cap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chart" Target="charts/chart1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/>
              <a:t>Stratégie</a:t>
            </a:r>
          </a:p>
        </c:rich>
      </c:tx>
      <c:layout>
        <c:manualLayout>
          <c:xMode val="edge"/>
          <c:yMode val="edge"/>
          <c:x val="0.43551401869158879"/>
          <c:y val="1.96629213483146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149532710280374"/>
          <c:y val="0.1797752808988764"/>
          <c:w val="0.55140186915887845"/>
          <c:h val="0.6966292134831461"/>
        </c:manualLayout>
      </c:layout>
      <c:lineChart>
        <c:grouping val="standard"/>
        <c:varyColors val="0"/>
        <c:ser>
          <c:idx val="0"/>
          <c:order val="0"/>
          <c:tx>
            <c:strRef>
              <c:f>Feuil1!$C$5</c:f>
              <c:strCache>
                <c:ptCount val="1"/>
                <c:pt idx="0">
                  <c:v>Vente call 50</c:v>
                </c:pt>
              </c:strCache>
            </c:strRef>
          </c:tx>
          <c:spPr>
            <a:ln w="25400">
              <a:solidFill>
                <a:srgbClr val="000080"/>
              </a:solidFill>
              <a:prstDash val="lgDash"/>
            </a:ln>
          </c:spPr>
          <c:marker>
            <c:symbol val="none"/>
          </c:marker>
          <c:val>
            <c:numRef>
              <c:f>Feuil1!$C$6:$C$106</c:f>
              <c:numCache>
                <c:formatCode>General</c:formatCode>
                <c:ptCount val="1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-1</c:v>
                </c:pt>
                <c:pt idx="52">
                  <c:v>-2</c:v>
                </c:pt>
                <c:pt idx="53">
                  <c:v>-3</c:v>
                </c:pt>
                <c:pt idx="54">
                  <c:v>-4</c:v>
                </c:pt>
                <c:pt idx="55">
                  <c:v>-5</c:v>
                </c:pt>
                <c:pt idx="56">
                  <c:v>-6</c:v>
                </c:pt>
                <c:pt idx="57">
                  <c:v>-7</c:v>
                </c:pt>
                <c:pt idx="58">
                  <c:v>-8</c:v>
                </c:pt>
                <c:pt idx="59">
                  <c:v>-9</c:v>
                </c:pt>
                <c:pt idx="60">
                  <c:v>-10</c:v>
                </c:pt>
                <c:pt idx="61">
                  <c:v>-11</c:v>
                </c:pt>
                <c:pt idx="62">
                  <c:v>-12</c:v>
                </c:pt>
                <c:pt idx="63">
                  <c:v>-13</c:v>
                </c:pt>
                <c:pt idx="64">
                  <c:v>-14</c:v>
                </c:pt>
                <c:pt idx="65">
                  <c:v>-15</c:v>
                </c:pt>
                <c:pt idx="66">
                  <c:v>-16</c:v>
                </c:pt>
                <c:pt idx="67">
                  <c:v>-17</c:v>
                </c:pt>
                <c:pt idx="68">
                  <c:v>-18</c:v>
                </c:pt>
                <c:pt idx="69">
                  <c:v>-19</c:v>
                </c:pt>
                <c:pt idx="70">
                  <c:v>-20</c:v>
                </c:pt>
                <c:pt idx="71">
                  <c:v>-21</c:v>
                </c:pt>
                <c:pt idx="72">
                  <c:v>-22</c:v>
                </c:pt>
                <c:pt idx="73">
                  <c:v>-23</c:v>
                </c:pt>
                <c:pt idx="74">
                  <c:v>-24</c:v>
                </c:pt>
                <c:pt idx="75">
                  <c:v>-25</c:v>
                </c:pt>
                <c:pt idx="76">
                  <c:v>-26</c:v>
                </c:pt>
                <c:pt idx="77">
                  <c:v>-27</c:v>
                </c:pt>
                <c:pt idx="78">
                  <c:v>-28</c:v>
                </c:pt>
                <c:pt idx="79">
                  <c:v>-29</c:v>
                </c:pt>
                <c:pt idx="80">
                  <c:v>-30</c:v>
                </c:pt>
                <c:pt idx="81">
                  <c:v>-31</c:v>
                </c:pt>
                <c:pt idx="82">
                  <c:v>-32</c:v>
                </c:pt>
                <c:pt idx="83">
                  <c:v>-33</c:v>
                </c:pt>
                <c:pt idx="84">
                  <c:v>-34</c:v>
                </c:pt>
                <c:pt idx="85">
                  <c:v>-35</c:v>
                </c:pt>
                <c:pt idx="86">
                  <c:v>-36</c:v>
                </c:pt>
                <c:pt idx="87">
                  <c:v>-37</c:v>
                </c:pt>
                <c:pt idx="88">
                  <c:v>-38</c:v>
                </c:pt>
                <c:pt idx="89">
                  <c:v>-39</c:v>
                </c:pt>
                <c:pt idx="90">
                  <c:v>-40</c:v>
                </c:pt>
                <c:pt idx="91">
                  <c:v>-41</c:v>
                </c:pt>
                <c:pt idx="92">
                  <c:v>-42</c:v>
                </c:pt>
                <c:pt idx="93">
                  <c:v>-43</c:v>
                </c:pt>
                <c:pt idx="94">
                  <c:v>-44</c:v>
                </c:pt>
                <c:pt idx="95">
                  <c:v>-45</c:v>
                </c:pt>
                <c:pt idx="96">
                  <c:v>-46</c:v>
                </c:pt>
                <c:pt idx="97">
                  <c:v>-47</c:v>
                </c:pt>
                <c:pt idx="98">
                  <c:v>-48</c:v>
                </c:pt>
                <c:pt idx="99">
                  <c:v>-49</c:v>
                </c:pt>
                <c:pt idx="100">
                  <c:v>-50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Feuil1!$D$5</c:f>
              <c:strCache>
                <c:ptCount val="1"/>
                <c:pt idx="0">
                  <c:v>achat put 55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none"/>
          </c:marker>
          <c:val>
            <c:numRef>
              <c:f>Feuil1!$D$6:$D$106</c:f>
              <c:numCache>
                <c:formatCode>General</c:formatCode>
                <c:ptCount val="101"/>
                <c:pt idx="0">
                  <c:v>55</c:v>
                </c:pt>
                <c:pt idx="1">
                  <c:v>54</c:v>
                </c:pt>
                <c:pt idx="2">
                  <c:v>53</c:v>
                </c:pt>
                <c:pt idx="3">
                  <c:v>52</c:v>
                </c:pt>
                <c:pt idx="4">
                  <c:v>51</c:v>
                </c:pt>
                <c:pt idx="5">
                  <c:v>50</c:v>
                </c:pt>
                <c:pt idx="6">
                  <c:v>49</c:v>
                </c:pt>
                <c:pt idx="7">
                  <c:v>48</c:v>
                </c:pt>
                <c:pt idx="8">
                  <c:v>47</c:v>
                </c:pt>
                <c:pt idx="9">
                  <c:v>46</c:v>
                </c:pt>
                <c:pt idx="10">
                  <c:v>45</c:v>
                </c:pt>
                <c:pt idx="11">
                  <c:v>44</c:v>
                </c:pt>
                <c:pt idx="12">
                  <c:v>43</c:v>
                </c:pt>
                <c:pt idx="13">
                  <c:v>42</c:v>
                </c:pt>
                <c:pt idx="14">
                  <c:v>41</c:v>
                </c:pt>
                <c:pt idx="15">
                  <c:v>40</c:v>
                </c:pt>
                <c:pt idx="16">
                  <c:v>39</c:v>
                </c:pt>
                <c:pt idx="17">
                  <c:v>38</c:v>
                </c:pt>
                <c:pt idx="18">
                  <c:v>37</c:v>
                </c:pt>
                <c:pt idx="19">
                  <c:v>36</c:v>
                </c:pt>
                <c:pt idx="20">
                  <c:v>35</c:v>
                </c:pt>
                <c:pt idx="21">
                  <c:v>34</c:v>
                </c:pt>
                <c:pt idx="22">
                  <c:v>33</c:v>
                </c:pt>
                <c:pt idx="23">
                  <c:v>32</c:v>
                </c:pt>
                <c:pt idx="24">
                  <c:v>31</c:v>
                </c:pt>
                <c:pt idx="25">
                  <c:v>30</c:v>
                </c:pt>
                <c:pt idx="26">
                  <c:v>29</c:v>
                </c:pt>
                <c:pt idx="27">
                  <c:v>28</c:v>
                </c:pt>
                <c:pt idx="28">
                  <c:v>27</c:v>
                </c:pt>
                <c:pt idx="29">
                  <c:v>26</c:v>
                </c:pt>
                <c:pt idx="30">
                  <c:v>25</c:v>
                </c:pt>
                <c:pt idx="31">
                  <c:v>24</c:v>
                </c:pt>
                <c:pt idx="32">
                  <c:v>23</c:v>
                </c:pt>
                <c:pt idx="33">
                  <c:v>22</c:v>
                </c:pt>
                <c:pt idx="34">
                  <c:v>21</c:v>
                </c:pt>
                <c:pt idx="35">
                  <c:v>20</c:v>
                </c:pt>
                <c:pt idx="36">
                  <c:v>19</c:v>
                </c:pt>
                <c:pt idx="37">
                  <c:v>18</c:v>
                </c:pt>
                <c:pt idx="38">
                  <c:v>17</c:v>
                </c:pt>
                <c:pt idx="39">
                  <c:v>16</c:v>
                </c:pt>
                <c:pt idx="40">
                  <c:v>15</c:v>
                </c:pt>
                <c:pt idx="41">
                  <c:v>14</c:v>
                </c:pt>
                <c:pt idx="42">
                  <c:v>13</c:v>
                </c:pt>
                <c:pt idx="43">
                  <c:v>12</c:v>
                </c:pt>
                <c:pt idx="44">
                  <c:v>11</c:v>
                </c:pt>
                <c:pt idx="45">
                  <c:v>10</c:v>
                </c:pt>
                <c:pt idx="46">
                  <c:v>9</c:v>
                </c:pt>
                <c:pt idx="47">
                  <c:v>8</c:v>
                </c:pt>
                <c:pt idx="48">
                  <c:v>7</c:v>
                </c:pt>
                <c:pt idx="49">
                  <c:v>6</c:v>
                </c:pt>
                <c:pt idx="50">
                  <c:v>5</c:v>
                </c:pt>
                <c:pt idx="51">
                  <c:v>4</c:v>
                </c:pt>
                <c:pt idx="52">
                  <c:v>3</c:v>
                </c:pt>
                <c:pt idx="53">
                  <c:v>2</c:v>
                </c:pt>
                <c:pt idx="54">
                  <c:v>1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Feuil1!$E$5</c:f>
              <c:strCache>
                <c:ptCount val="1"/>
                <c:pt idx="0">
                  <c:v>contrat acheté 52,5</c:v>
                </c:pt>
              </c:strCache>
            </c:strRef>
          </c:tx>
          <c:spPr>
            <a:ln w="25400">
              <a:solidFill>
                <a:srgbClr val="808000"/>
              </a:solidFill>
              <a:prstDash val="solid"/>
            </a:ln>
          </c:spPr>
          <c:marker>
            <c:symbol val="none"/>
          </c:marker>
          <c:val>
            <c:numRef>
              <c:f>Feuil1!$E$6:$E$106</c:f>
              <c:numCache>
                <c:formatCode>General</c:formatCode>
                <c:ptCount val="101"/>
                <c:pt idx="0">
                  <c:v>-52.5</c:v>
                </c:pt>
                <c:pt idx="1">
                  <c:v>-51.5</c:v>
                </c:pt>
                <c:pt idx="2">
                  <c:v>-50.5</c:v>
                </c:pt>
                <c:pt idx="3">
                  <c:v>-49.5</c:v>
                </c:pt>
                <c:pt idx="4">
                  <c:v>-48.5</c:v>
                </c:pt>
                <c:pt idx="5">
                  <c:v>-47.5</c:v>
                </c:pt>
                <c:pt idx="6">
                  <c:v>-46.5</c:v>
                </c:pt>
                <c:pt idx="7">
                  <c:v>-45.5</c:v>
                </c:pt>
                <c:pt idx="8">
                  <c:v>-44.5</c:v>
                </c:pt>
                <c:pt idx="9">
                  <c:v>-43.5</c:v>
                </c:pt>
                <c:pt idx="10">
                  <c:v>-42.5</c:v>
                </c:pt>
                <c:pt idx="11">
                  <c:v>-41.5</c:v>
                </c:pt>
                <c:pt idx="12">
                  <c:v>-40.5</c:v>
                </c:pt>
                <c:pt idx="13">
                  <c:v>-39.5</c:v>
                </c:pt>
                <c:pt idx="14">
                  <c:v>-38.5</c:v>
                </c:pt>
                <c:pt idx="15">
                  <c:v>-37.5</c:v>
                </c:pt>
                <c:pt idx="16">
                  <c:v>-36.5</c:v>
                </c:pt>
                <c:pt idx="17">
                  <c:v>-35.5</c:v>
                </c:pt>
                <c:pt idx="18">
                  <c:v>-34.5</c:v>
                </c:pt>
                <c:pt idx="19">
                  <c:v>-33.5</c:v>
                </c:pt>
                <c:pt idx="20">
                  <c:v>-32.5</c:v>
                </c:pt>
                <c:pt idx="21">
                  <c:v>-31.5</c:v>
                </c:pt>
                <c:pt idx="22">
                  <c:v>-30.5</c:v>
                </c:pt>
                <c:pt idx="23">
                  <c:v>-29.5</c:v>
                </c:pt>
                <c:pt idx="24">
                  <c:v>-28.5</c:v>
                </c:pt>
                <c:pt idx="25">
                  <c:v>-27.5</c:v>
                </c:pt>
                <c:pt idx="26">
                  <c:v>-26.5</c:v>
                </c:pt>
                <c:pt idx="27">
                  <c:v>-25.5</c:v>
                </c:pt>
                <c:pt idx="28">
                  <c:v>-24.5</c:v>
                </c:pt>
                <c:pt idx="29">
                  <c:v>-23.5</c:v>
                </c:pt>
                <c:pt idx="30">
                  <c:v>-22.5</c:v>
                </c:pt>
                <c:pt idx="31">
                  <c:v>-21.5</c:v>
                </c:pt>
                <c:pt idx="32">
                  <c:v>-20.5</c:v>
                </c:pt>
                <c:pt idx="33">
                  <c:v>-19.5</c:v>
                </c:pt>
                <c:pt idx="34">
                  <c:v>-18.5</c:v>
                </c:pt>
                <c:pt idx="35">
                  <c:v>-17.5</c:v>
                </c:pt>
                <c:pt idx="36">
                  <c:v>-16.5</c:v>
                </c:pt>
                <c:pt idx="37">
                  <c:v>-15.5</c:v>
                </c:pt>
                <c:pt idx="38">
                  <c:v>-14.5</c:v>
                </c:pt>
                <c:pt idx="39">
                  <c:v>-13.5</c:v>
                </c:pt>
                <c:pt idx="40">
                  <c:v>-12.5</c:v>
                </c:pt>
                <c:pt idx="41">
                  <c:v>-11.5</c:v>
                </c:pt>
                <c:pt idx="42">
                  <c:v>-10.5</c:v>
                </c:pt>
                <c:pt idx="43">
                  <c:v>-9.5</c:v>
                </c:pt>
                <c:pt idx="44">
                  <c:v>-8.5</c:v>
                </c:pt>
                <c:pt idx="45">
                  <c:v>-7.5</c:v>
                </c:pt>
                <c:pt idx="46">
                  <c:v>-6.5</c:v>
                </c:pt>
                <c:pt idx="47">
                  <c:v>-5.5</c:v>
                </c:pt>
                <c:pt idx="48">
                  <c:v>-4.5</c:v>
                </c:pt>
                <c:pt idx="49">
                  <c:v>-3.5</c:v>
                </c:pt>
                <c:pt idx="50">
                  <c:v>-2.5</c:v>
                </c:pt>
                <c:pt idx="51">
                  <c:v>-1.5</c:v>
                </c:pt>
                <c:pt idx="52">
                  <c:v>-0.5</c:v>
                </c:pt>
                <c:pt idx="53">
                  <c:v>0.5</c:v>
                </c:pt>
                <c:pt idx="54">
                  <c:v>1.5</c:v>
                </c:pt>
                <c:pt idx="55">
                  <c:v>2.5</c:v>
                </c:pt>
                <c:pt idx="56">
                  <c:v>3.5</c:v>
                </c:pt>
                <c:pt idx="57">
                  <c:v>4.5</c:v>
                </c:pt>
                <c:pt idx="58">
                  <c:v>5.5</c:v>
                </c:pt>
                <c:pt idx="59">
                  <c:v>6.5</c:v>
                </c:pt>
                <c:pt idx="60">
                  <c:v>7.5</c:v>
                </c:pt>
                <c:pt idx="61">
                  <c:v>8.5</c:v>
                </c:pt>
                <c:pt idx="62">
                  <c:v>9.5</c:v>
                </c:pt>
                <c:pt idx="63">
                  <c:v>10.5</c:v>
                </c:pt>
                <c:pt idx="64">
                  <c:v>11.5</c:v>
                </c:pt>
                <c:pt idx="65">
                  <c:v>12.5</c:v>
                </c:pt>
                <c:pt idx="66">
                  <c:v>13.5</c:v>
                </c:pt>
                <c:pt idx="67">
                  <c:v>14.5</c:v>
                </c:pt>
                <c:pt idx="68">
                  <c:v>15.5</c:v>
                </c:pt>
                <c:pt idx="69">
                  <c:v>16.5</c:v>
                </c:pt>
                <c:pt idx="70">
                  <c:v>17.5</c:v>
                </c:pt>
                <c:pt idx="71">
                  <c:v>18.5</c:v>
                </c:pt>
                <c:pt idx="72">
                  <c:v>19.5</c:v>
                </c:pt>
                <c:pt idx="73">
                  <c:v>20.5</c:v>
                </c:pt>
                <c:pt idx="74">
                  <c:v>21.5</c:v>
                </c:pt>
                <c:pt idx="75">
                  <c:v>22.5</c:v>
                </c:pt>
                <c:pt idx="76">
                  <c:v>23.5</c:v>
                </c:pt>
                <c:pt idx="77">
                  <c:v>24.5</c:v>
                </c:pt>
                <c:pt idx="78">
                  <c:v>25.5</c:v>
                </c:pt>
                <c:pt idx="79">
                  <c:v>26.5</c:v>
                </c:pt>
                <c:pt idx="80">
                  <c:v>27.5</c:v>
                </c:pt>
                <c:pt idx="81">
                  <c:v>28.5</c:v>
                </c:pt>
                <c:pt idx="82">
                  <c:v>29.5</c:v>
                </c:pt>
                <c:pt idx="83">
                  <c:v>30.5</c:v>
                </c:pt>
                <c:pt idx="84">
                  <c:v>31.5</c:v>
                </c:pt>
                <c:pt idx="85">
                  <c:v>32.5</c:v>
                </c:pt>
                <c:pt idx="86">
                  <c:v>33.5</c:v>
                </c:pt>
                <c:pt idx="87">
                  <c:v>34.5</c:v>
                </c:pt>
                <c:pt idx="88">
                  <c:v>35.5</c:v>
                </c:pt>
                <c:pt idx="89">
                  <c:v>36.5</c:v>
                </c:pt>
                <c:pt idx="90">
                  <c:v>37.5</c:v>
                </c:pt>
                <c:pt idx="91">
                  <c:v>38.5</c:v>
                </c:pt>
                <c:pt idx="92">
                  <c:v>39.5</c:v>
                </c:pt>
                <c:pt idx="93">
                  <c:v>40.5</c:v>
                </c:pt>
                <c:pt idx="94">
                  <c:v>41.5</c:v>
                </c:pt>
                <c:pt idx="95">
                  <c:v>42.5</c:v>
                </c:pt>
                <c:pt idx="96">
                  <c:v>43.5</c:v>
                </c:pt>
                <c:pt idx="97">
                  <c:v>44.5</c:v>
                </c:pt>
                <c:pt idx="98">
                  <c:v>45.5</c:v>
                </c:pt>
                <c:pt idx="99">
                  <c:v>46.5</c:v>
                </c:pt>
                <c:pt idx="100">
                  <c:v>47.5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Feuil1!$F$5</c:f>
              <c:strCache>
                <c:ptCount val="1"/>
                <c:pt idx="0">
                  <c:v>Stratégie</c:v>
                </c:pt>
              </c:strCache>
            </c:strRef>
          </c:tx>
          <c:spPr>
            <a:ln w="38100">
              <a:solidFill>
                <a:srgbClr val="00FFFF"/>
              </a:solidFill>
              <a:prstDash val="solid"/>
            </a:ln>
          </c:spPr>
          <c:marker>
            <c:symbol val="none"/>
          </c:marker>
          <c:val>
            <c:numRef>
              <c:f>Feuil1!$F$6:$F$106</c:f>
              <c:numCache>
                <c:formatCode>General</c:formatCode>
                <c:ptCount val="101"/>
                <c:pt idx="0">
                  <c:v>2.5</c:v>
                </c:pt>
                <c:pt idx="1">
                  <c:v>2.5</c:v>
                </c:pt>
                <c:pt idx="2">
                  <c:v>2.5</c:v>
                </c:pt>
                <c:pt idx="3">
                  <c:v>2.5</c:v>
                </c:pt>
                <c:pt idx="4">
                  <c:v>2.5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>
                  <c:v>2.5</c:v>
                </c:pt>
                <c:pt idx="10">
                  <c:v>2.5</c:v>
                </c:pt>
                <c:pt idx="11">
                  <c:v>2.5</c:v>
                </c:pt>
                <c:pt idx="12">
                  <c:v>2.5</c:v>
                </c:pt>
                <c:pt idx="13">
                  <c:v>2.5</c:v>
                </c:pt>
                <c:pt idx="14">
                  <c:v>2.5</c:v>
                </c:pt>
                <c:pt idx="15">
                  <c:v>2.5</c:v>
                </c:pt>
                <c:pt idx="16">
                  <c:v>2.5</c:v>
                </c:pt>
                <c:pt idx="17">
                  <c:v>2.5</c:v>
                </c:pt>
                <c:pt idx="18">
                  <c:v>2.5</c:v>
                </c:pt>
                <c:pt idx="19">
                  <c:v>2.5</c:v>
                </c:pt>
                <c:pt idx="20">
                  <c:v>2.5</c:v>
                </c:pt>
                <c:pt idx="21">
                  <c:v>2.5</c:v>
                </c:pt>
                <c:pt idx="22">
                  <c:v>2.5</c:v>
                </c:pt>
                <c:pt idx="23">
                  <c:v>2.5</c:v>
                </c:pt>
                <c:pt idx="24">
                  <c:v>2.5</c:v>
                </c:pt>
                <c:pt idx="25">
                  <c:v>2.5</c:v>
                </c:pt>
                <c:pt idx="26">
                  <c:v>2.5</c:v>
                </c:pt>
                <c:pt idx="27">
                  <c:v>2.5</c:v>
                </c:pt>
                <c:pt idx="28">
                  <c:v>2.5</c:v>
                </c:pt>
                <c:pt idx="29">
                  <c:v>2.5</c:v>
                </c:pt>
                <c:pt idx="30">
                  <c:v>2.5</c:v>
                </c:pt>
                <c:pt idx="31">
                  <c:v>2.5</c:v>
                </c:pt>
                <c:pt idx="32">
                  <c:v>2.5</c:v>
                </c:pt>
                <c:pt idx="33">
                  <c:v>2.5</c:v>
                </c:pt>
                <c:pt idx="34">
                  <c:v>2.5</c:v>
                </c:pt>
                <c:pt idx="35">
                  <c:v>2.5</c:v>
                </c:pt>
                <c:pt idx="36">
                  <c:v>2.5</c:v>
                </c:pt>
                <c:pt idx="37">
                  <c:v>2.5</c:v>
                </c:pt>
                <c:pt idx="38">
                  <c:v>2.5</c:v>
                </c:pt>
                <c:pt idx="39">
                  <c:v>2.5</c:v>
                </c:pt>
                <c:pt idx="40">
                  <c:v>2.5</c:v>
                </c:pt>
                <c:pt idx="41">
                  <c:v>2.5</c:v>
                </c:pt>
                <c:pt idx="42">
                  <c:v>2.5</c:v>
                </c:pt>
                <c:pt idx="43">
                  <c:v>2.5</c:v>
                </c:pt>
                <c:pt idx="44">
                  <c:v>2.5</c:v>
                </c:pt>
                <c:pt idx="45">
                  <c:v>2.5</c:v>
                </c:pt>
                <c:pt idx="46">
                  <c:v>2.5</c:v>
                </c:pt>
                <c:pt idx="47">
                  <c:v>2.5</c:v>
                </c:pt>
                <c:pt idx="48">
                  <c:v>2.5</c:v>
                </c:pt>
                <c:pt idx="49">
                  <c:v>2.5</c:v>
                </c:pt>
                <c:pt idx="50">
                  <c:v>2.5</c:v>
                </c:pt>
                <c:pt idx="51">
                  <c:v>1.5</c:v>
                </c:pt>
                <c:pt idx="52">
                  <c:v>0.5</c:v>
                </c:pt>
                <c:pt idx="53">
                  <c:v>-0.5</c:v>
                </c:pt>
                <c:pt idx="54">
                  <c:v>-1.5</c:v>
                </c:pt>
                <c:pt idx="55">
                  <c:v>-2.5</c:v>
                </c:pt>
                <c:pt idx="56">
                  <c:v>-2.5</c:v>
                </c:pt>
                <c:pt idx="57">
                  <c:v>-2.5</c:v>
                </c:pt>
                <c:pt idx="58">
                  <c:v>-2.5</c:v>
                </c:pt>
                <c:pt idx="59">
                  <c:v>-2.5</c:v>
                </c:pt>
                <c:pt idx="60">
                  <c:v>-2.5</c:v>
                </c:pt>
                <c:pt idx="61">
                  <c:v>-2.5</c:v>
                </c:pt>
                <c:pt idx="62">
                  <c:v>-2.5</c:v>
                </c:pt>
                <c:pt idx="63">
                  <c:v>-2.5</c:v>
                </c:pt>
                <c:pt idx="64">
                  <c:v>-2.5</c:v>
                </c:pt>
                <c:pt idx="65">
                  <c:v>-2.5</c:v>
                </c:pt>
                <c:pt idx="66">
                  <c:v>-2.5</c:v>
                </c:pt>
                <c:pt idx="67">
                  <c:v>-2.5</c:v>
                </c:pt>
                <c:pt idx="68">
                  <c:v>-2.5</c:v>
                </c:pt>
                <c:pt idx="69">
                  <c:v>-2.5</c:v>
                </c:pt>
                <c:pt idx="70">
                  <c:v>-2.5</c:v>
                </c:pt>
                <c:pt idx="71">
                  <c:v>-2.5</c:v>
                </c:pt>
                <c:pt idx="72">
                  <c:v>-2.5</c:v>
                </c:pt>
                <c:pt idx="73">
                  <c:v>-2.5</c:v>
                </c:pt>
                <c:pt idx="74">
                  <c:v>-2.5</c:v>
                </c:pt>
                <c:pt idx="75">
                  <c:v>-2.5</c:v>
                </c:pt>
                <c:pt idx="76">
                  <c:v>-2.5</c:v>
                </c:pt>
                <c:pt idx="77">
                  <c:v>-2.5</c:v>
                </c:pt>
                <c:pt idx="78">
                  <c:v>-2.5</c:v>
                </c:pt>
                <c:pt idx="79">
                  <c:v>-2.5</c:v>
                </c:pt>
                <c:pt idx="80">
                  <c:v>-2.5</c:v>
                </c:pt>
                <c:pt idx="81">
                  <c:v>-2.5</c:v>
                </c:pt>
                <c:pt idx="82">
                  <c:v>-2.5</c:v>
                </c:pt>
                <c:pt idx="83">
                  <c:v>-2.5</c:v>
                </c:pt>
                <c:pt idx="84">
                  <c:v>-2.5</c:v>
                </c:pt>
                <c:pt idx="85">
                  <c:v>-2.5</c:v>
                </c:pt>
                <c:pt idx="86">
                  <c:v>-2.5</c:v>
                </c:pt>
                <c:pt idx="87">
                  <c:v>-2.5</c:v>
                </c:pt>
                <c:pt idx="88">
                  <c:v>-2.5</c:v>
                </c:pt>
                <c:pt idx="89">
                  <c:v>-2.5</c:v>
                </c:pt>
                <c:pt idx="90">
                  <c:v>-2.5</c:v>
                </c:pt>
                <c:pt idx="91">
                  <c:v>-2.5</c:v>
                </c:pt>
                <c:pt idx="92">
                  <c:v>-2.5</c:v>
                </c:pt>
                <c:pt idx="93">
                  <c:v>-2.5</c:v>
                </c:pt>
                <c:pt idx="94">
                  <c:v>-2.5</c:v>
                </c:pt>
                <c:pt idx="95">
                  <c:v>-2.5</c:v>
                </c:pt>
                <c:pt idx="96">
                  <c:v>-2.5</c:v>
                </c:pt>
                <c:pt idx="97">
                  <c:v>-2.5</c:v>
                </c:pt>
                <c:pt idx="98">
                  <c:v>-2.5</c:v>
                </c:pt>
                <c:pt idx="99">
                  <c:v>-2.5</c:v>
                </c:pt>
                <c:pt idx="100">
                  <c:v>-2.5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145472"/>
        <c:axId val="213155840"/>
      </c:lineChart>
      <c:catAx>
        <c:axId val="213145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s</a:t>
                </a:r>
              </a:p>
            </c:rich>
          </c:tx>
          <c:layout>
            <c:manualLayout>
              <c:xMode val="edge"/>
              <c:yMode val="edge"/>
              <c:x val="0.38504672897196263"/>
              <c:y val="0.9044943820224719"/>
            </c:manualLayout>
          </c:layout>
          <c:overlay val="0"/>
          <c:spPr>
            <a:noFill/>
            <a:ln w="25400">
              <a:noFill/>
            </a:ln>
          </c:spPr>
        </c:title>
        <c:majorTickMark val="none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213155840"/>
        <c:crosses val="autoZero"/>
        <c:auto val="1"/>
        <c:lblAlgn val="ctr"/>
        <c:lblOffset val="100"/>
        <c:tickMarkSkip val="1"/>
        <c:noMultiLvlLbl val="0"/>
      </c:catAx>
      <c:valAx>
        <c:axId val="213155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pay off</a:t>
                </a:r>
              </a:p>
            </c:rich>
          </c:tx>
          <c:layout>
            <c:manualLayout>
              <c:xMode val="edge"/>
              <c:yMode val="edge"/>
              <c:x val="2.0560747663551402E-2"/>
              <c:y val="0.460674157303370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213145472"/>
        <c:crosses val="autoZero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158878504672894"/>
          <c:y val="0.40730337078651685"/>
          <c:w val="0.30093457943925234"/>
          <c:h val="0.2387640449438202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Contrôle continu Portfolio 2</vt:lpstr>
      <vt:lpstr>Contrôle continu Portfolio 2</vt:lpstr>
    </vt:vector>
  </TitlesOfParts>
  <Company> 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3</cp:revision>
  <dcterms:created xsi:type="dcterms:W3CDTF">2015-09-05T13:23:00Z</dcterms:created>
  <dcterms:modified xsi:type="dcterms:W3CDTF">2015-09-05T13:33:00Z</dcterms:modified>
</cp:coreProperties>
</file>