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EE" w:rsidRPr="005F1EFD" w:rsidRDefault="00735473" w:rsidP="00C647B2">
      <w:pPr>
        <w:jc w:val="center"/>
        <w:rPr>
          <w:b/>
          <w:sz w:val="48"/>
          <w:szCs w:val="48"/>
          <w:u w:val="single"/>
        </w:rPr>
      </w:pPr>
      <w:r w:rsidRPr="005F1EFD">
        <w:rPr>
          <w:b/>
          <w:sz w:val="48"/>
          <w:szCs w:val="48"/>
          <w:u w:val="single"/>
        </w:rPr>
        <w:t>SERIES DE FOURIER :</w:t>
      </w:r>
    </w:p>
    <w:p w:rsidR="00735473" w:rsidRDefault="00735473" w:rsidP="00C647B2">
      <w:pPr>
        <w:jc w:val="both"/>
      </w:pPr>
    </w:p>
    <w:p w:rsidR="00735473" w:rsidRDefault="00735473" w:rsidP="00C647B2">
      <w:pPr>
        <w:jc w:val="both"/>
      </w:pPr>
    </w:p>
    <w:p w:rsidR="00C647B2" w:rsidRDefault="00C647B2" w:rsidP="00C647B2">
      <w:pPr>
        <w:jc w:val="both"/>
      </w:pPr>
    </w:p>
    <w:p w:rsidR="003963AB" w:rsidRDefault="003963AB" w:rsidP="00C647B2">
      <w:pPr>
        <w:jc w:val="both"/>
      </w:pPr>
    </w:p>
    <w:p w:rsidR="003963AB" w:rsidRDefault="003963AB" w:rsidP="00C647B2">
      <w:pPr>
        <w:jc w:val="both"/>
      </w:pPr>
      <w:r>
        <w:t>L’objet des séries de Fourier est de décomposer un signal périodique f(t) en une somme de composantes sinusoïdales de fréquences multiples du fondamental, dont la fréquence</w:t>
      </w:r>
      <w:r w:rsidR="00463800">
        <w:t xml:space="preserve"> f</w:t>
      </w:r>
      <w:r w:rsidR="00463800">
        <w:rPr>
          <w:vertAlign w:val="subscript"/>
        </w:rPr>
        <w:t>0</w:t>
      </w:r>
      <w:r>
        <w:t xml:space="preserve"> est celle du signal.</w:t>
      </w:r>
    </w:p>
    <w:p w:rsidR="003963AB" w:rsidRDefault="003963AB" w:rsidP="00C647B2">
      <w:pPr>
        <w:jc w:val="both"/>
      </w:pPr>
    </w:p>
    <w:p w:rsidR="003963AB" w:rsidRDefault="00463800" w:rsidP="00C647B2">
      <w:pPr>
        <w:jc w:val="both"/>
      </w:pPr>
      <w:r w:rsidRPr="005F1EFD">
        <w:rPr>
          <w:position w:val="-28"/>
        </w:rPr>
        <w:object w:dxaOrig="4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3.75pt" o:ole="">
            <v:imagedata r:id="rId5" o:title=""/>
          </v:shape>
          <o:OLEObject Type="Embed" ProgID="Equation.3" ShapeID="_x0000_i1025" DrawAspect="Content" ObjectID="_1427006372" r:id="rId6"/>
        </w:object>
      </w:r>
    </w:p>
    <w:p w:rsidR="003963AB" w:rsidRDefault="003963AB" w:rsidP="00C647B2">
      <w:pPr>
        <w:jc w:val="both"/>
      </w:pPr>
    </w:p>
    <w:p w:rsidR="003963AB" w:rsidRDefault="003963AB" w:rsidP="00C647B2">
      <w:pPr>
        <w:jc w:val="both"/>
      </w:pPr>
      <w:r>
        <w:t>On montre que cette série converge, c'est-à-dire que lorsque m tend vers l’infini la série tend en tout point vers f(t).</w:t>
      </w:r>
    </w:p>
    <w:p w:rsidR="003963AB" w:rsidRDefault="003963AB" w:rsidP="00C647B2">
      <w:pPr>
        <w:jc w:val="both"/>
      </w:pPr>
      <w:r>
        <w:t>Notons cependant que la série converge aux points de discontinuité de f(t) vers un point intermédiaire. Notons également que c’est une convergence non-uniforme, ce qui se traduit par la subsistance de dépassement</w:t>
      </w:r>
      <w:r w:rsidR="00EC20B6">
        <w:t>s</w:t>
      </w:r>
      <w:r>
        <w:t xml:space="preserve"> au voisinage des discontinuités (théorème de Gibbs)</w:t>
      </w:r>
      <w:r w:rsidR="00463800">
        <w:t xml:space="preserve"> d’environ 11% de la discontinuité</w:t>
      </w:r>
      <w:r>
        <w:t>.</w:t>
      </w:r>
    </w:p>
    <w:p w:rsidR="00EC20B6" w:rsidRDefault="00EC20B6" w:rsidP="00C647B2">
      <w:pPr>
        <w:jc w:val="both"/>
      </w:pPr>
    </w:p>
    <w:p w:rsidR="00EC20B6" w:rsidRDefault="00EC20B6" w:rsidP="00C647B2">
      <w:pPr>
        <w:jc w:val="both"/>
      </w:pPr>
      <w:r>
        <w:t>Exemple : reconstitution d’un signal en dent de scie à l’ordre m=30.</w:t>
      </w:r>
    </w:p>
    <w:p w:rsidR="00EC20B6" w:rsidRDefault="00EC20B6" w:rsidP="00C647B2">
      <w:pPr>
        <w:jc w:val="both"/>
      </w:pPr>
    </w:p>
    <w:p w:rsidR="00EC20B6" w:rsidRDefault="007B28A0" w:rsidP="00C647B2">
      <w:pPr>
        <w:jc w:val="both"/>
      </w:pPr>
      <w:r>
        <w:rPr>
          <w:noProof/>
        </w:rPr>
        <w:drawing>
          <wp:inline distT="0" distB="0" distL="0" distR="0">
            <wp:extent cx="5762625" cy="2314575"/>
            <wp:effectExtent l="0" t="0" r="9525" b="9525"/>
            <wp:docPr id="2" name="Picture 2" descr="Capturerf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rf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AB" w:rsidRDefault="003963AB" w:rsidP="00C647B2">
      <w:pPr>
        <w:jc w:val="both"/>
      </w:pPr>
    </w:p>
    <w:p w:rsidR="00EC20B6" w:rsidRDefault="00EC20B6" w:rsidP="00C647B2">
      <w:pPr>
        <w:jc w:val="both"/>
      </w:pPr>
    </w:p>
    <w:p w:rsidR="00EC20B6" w:rsidRPr="00EC20B6" w:rsidRDefault="00EC20B6" w:rsidP="00C647B2">
      <w:pPr>
        <w:jc w:val="both"/>
      </w:pPr>
      <w:r>
        <w:t>Les coefficients a</w:t>
      </w:r>
      <w:r>
        <w:rPr>
          <w:vertAlign w:val="subscript"/>
        </w:rPr>
        <w:t>n</w:t>
      </w:r>
      <w:r>
        <w:t xml:space="preserve"> et b</w:t>
      </w:r>
      <w:r>
        <w:rPr>
          <w:vertAlign w:val="subscript"/>
        </w:rPr>
        <w:t>n</w:t>
      </w:r>
      <w:r>
        <w:t xml:space="preserve"> se calculent comme suit :</w:t>
      </w:r>
    </w:p>
    <w:p w:rsidR="00EC20B6" w:rsidRDefault="00EC20B6" w:rsidP="00C647B2">
      <w:pPr>
        <w:jc w:val="both"/>
      </w:pPr>
    </w:p>
    <w:p w:rsidR="00735473" w:rsidRDefault="00735473" w:rsidP="00C647B2">
      <w:pPr>
        <w:jc w:val="both"/>
      </w:pPr>
      <w:r w:rsidRPr="00735473">
        <w:rPr>
          <w:position w:val="-48"/>
        </w:rPr>
        <w:object w:dxaOrig="1640" w:dyaOrig="1080">
          <v:shape id="_x0000_i1026" type="#_x0000_t75" style="width:81.75pt;height:54pt" o:ole="">
            <v:imagedata r:id="rId8" o:title=""/>
          </v:shape>
          <o:OLEObject Type="Embed" ProgID="Equation.3" ShapeID="_x0000_i1026" DrawAspect="Content" ObjectID="_1427006373" r:id="rId9"/>
        </w:object>
      </w:r>
    </w:p>
    <w:p w:rsidR="00735473" w:rsidRDefault="00463800" w:rsidP="00C647B2">
      <w:pPr>
        <w:jc w:val="both"/>
      </w:pPr>
      <w:r w:rsidRPr="00735473">
        <w:rPr>
          <w:position w:val="-68"/>
        </w:rPr>
        <w:object w:dxaOrig="2760" w:dyaOrig="1480">
          <v:shape id="_x0000_i1027" type="#_x0000_t75" style="width:138pt;height:74.25pt" o:ole="">
            <v:imagedata r:id="rId10" o:title=""/>
          </v:shape>
          <o:OLEObject Type="Embed" ProgID="Equation.3" ShapeID="_x0000_i1027" DrawAspect="Content" ObjectID="_1427006374" r:id="rId11"/>
        </w:object>
      </w:r>
      <w:r w:rsidR="00735473">
        <w:tab/>
        <w:t>pour n ≥1</w:t>
      </w:r>
    </w:p>
    <w:p w:rsidR="00735473" w:rsidRDefault="00735473" w:rsidP="00C647B2">
      <w:pPr>
        <w:jc w:val="both"/>
      </w:pPr>
    </w:p>
    <w:p w:rsidR="005D5393" w:rsidRDefault="005D5393" w:rsidP="00C647B2">
      <w:pPr>
        <w:jc w:val="both"/>
      </w:pPr>
      <w:r>
        <w:t xml:space="preserve">Il est commode de remplacer </w:t>
      </w:r>
      <w:r w:rsidR="00E65BE0" w:rsidRPr="005D5393">
        <w:rPr>
          <w:position w:val="-6"/>
        </w:rPr>
        <w:object w:dxaOrig="300" w:dyaOrig="240">
          <v:shape id="_x0000_i1028" type="#_x0000_t75" style="width:15pt;height:12pt" o:ole="">
            <v:imagedata r:id="rId12" o:title=""/>
          </v:shape>
          <o:OLEObject Type="Embed" ProgID="Equation.3" ShapeID="_x0000_i1028" DrawAspect="Content" ObjectID="_1427006375" r:id="rId13"/>
        </w:object>
      </w:r>
      <w:r>
        <w:t xml:space="preserve"> par </w:t>
      </w:r>
      <w:r w:rsidR="00E65BE0" w:rsidRPr="005D5393">
        <w:rPr>
          <w:position w:val="-6"/>
        </w:rPr>
        <w:object w:dxaOrig="200" w:dyaOrig="279">
          <v:shape id="_x0000_i1029" type="#_x0000_t75" style="width:9.75pt;height:14.25pt" o:ole="">
            <v:imagedata r:id="rId14" o:title=""/>
          </v:shape>
          <o:OLEObject Type="Embed" ProgID="Equation.3" ShapeID="_x0000_i1029" DrawAspect="Content" ObjectID="_1427006376" r:id="rId15"/>
        </w:object>
      </w:r>
      <w:r w:rsidR="00E65BE0">
        <w:t xml:space="preserve"> et d’intégrer de 0 à </w:t>
      </w:r>
      <w:r w:rsidR="005F1EFD" w:rsidRPr="00E65BE0">
        <w:rPr>
          <w:position w:val="-6"/>
        </w:rPr>
        <w:object w:dxaOrig="360" w:dyaOrig="279">
          <v:shape id="_x0000_i1030" type="#_x0000_t75" style="width:18pt;height:14.25pt" o:ole="">
            <v:imagedata r:id="rId16" o:title=""/>
          </v:shape>
          <o:OLEObject Type="Embed" ProgID="Equation.3" ShapeID="_x0000_i1030" DrawAspect="Content" ObjectID="_1427006377" r:id="rId17"/>
        </w:object>
      </w:r>
      <w:r w:rsidR="00E65BE0">
        <w:t>.</w:t>
      </w:r>
      <w:r w:rsidR="00EC20B6">
        <w:t xml:space="preserve"> On choisira éventuellement un autre intervalle d’</w:t>
      </w:r>
      <w:r w:rsidR="001C651D">
        <w:t>intégration pa</w:t>
      </w:r>
      <w:r w:rsidR="00EC20B6">
        <w:t>r commodité de calcul (exemple de –pi à +pi).</w:t>
      </w:r>
    </w:p>
    <w:p w:rsidR="00EC20B6" w:rsidRDefault="00EC20B6" w:rsidP="00C647B2">
      <w:pPr>
        <w:jc w:val="both"/>
      </w:pPr>
      <w:r>
        <w:t>Le calcul de ces coefficients requiert des outils mathématiques tels que le changement de variable, l’intégration par partie ou les formules trigonométriques.</w:t>
      </w:r>
    </w:p>
    <w:p w:rsidR="00EC20B6" w:rsidRDefault="00EC20B6" w:rsidP="00C647B2">
      <w:pPr>
        <w:jc w:val="both"/>
      </w:pPr>
    </w:p>
    <w:p w:rsidR="00E65BE0" w:rsidRPr="00463800" w:rsidRDefault="00EC20B6" w:rsidP="00C647B2">
      <w:pPr>
        <w:jc w:val="both"/>
        <w:rPr>
          <w:u w:val="single"/>
        </w:rPr>
      </w:pPr>
      <w:r w:rsidRPr="00463800">
        <w:rPr>
          <w:u w:val="single"/>
        </w:rPr>
        <w:t>Il est utile de connaître ces quelques propriétés :</w:t>
      </w:r>
    </w:p>
    <w:p w:rsidR="00EC20B6" w:rsidRDefault="00EC20B6" w:rsidP="00C647B2">
      <w:pPr>
        <w:jc w:val="both"/>
      </w:pPr>
    </w:p>
    <w:p w:rsidR="00EC20B6" w:rsidRDefault="00EC20B6" w:rsidP="00C647B2">
      <w:pPr>
        <w:jc w:val="both"/>
      </w:pPr>
      <w:r>
        <w:t>*) si la fonction est paire, les b</w:t>
      </w:r>
      <w:r>
        <w:rPr>
          <w:vertAlign w:val="subscript"/>
        </w:rPr>
        <w:t>n</w:t>
      </w:r>
      <w:r>
        <w:t xml:space="preserve"> sont tous nuls.</w:t>
      </w:r>
    </w:p>
    <w:p w:rsidR="00EC20B6" w:rsidRPr="00EC20B6" w:rsidRDefault="00EC20B6" w:rsidP="00C647B2">
      <w:pPr>
        <w:jc w:val="both"/>
      </w:pPr>
    </w:p>
    <w:p w:rsidR="00EC20B6" w:rsidRDefault="00EC20B6" w:rsidP="00C647B2">
      <w:pPr>
        <w:jc w:val="both"/>
      </w:pPr>
      <w:r>
        <w:lastRenderedPageBreak/>
        <w:t>*) si la fonction est impaire, les a</w:t>
      </w:r>
      <w:r>
        <w:rPr>
          <w:vertAlign w:val="subscript"/>
        </w:rPr>
        <w:t>n</w:t>
      </w:r>
      <w:r>
        <w:t xml:space="preserve"> sont tous nuls.</w:t>
      </w:r>
    </w:p>
    <w:p w:rsidR="00EC20B6" w:rsidRPr="00EC20B6" w:rsidRDefault="00EC20B6" w:rsidP="00C647B2">
      <w:pPr>
        <w:jc w:val="both"/>
      </w:pPr>
      <w:r>
        <w:t>Notons que si la fonction privée de sa composante continue est impaire alors les a</w:t>
      </w:r>
      <w:r>
        <w:rPr>
          <w:vertAlign w:val="subscript"/>
        </w:rPr>
        <w:t>n</w:t>
      </w:r>
      <w:r>
        <w:t xml:space="preserve"> sont nuls pour n ≥ 1.</w:t>
      </w:r>
    </w:p>
    <w:p w:rsidR="00EC20B6" w:rsidRDefault="00EC20B6" w:rsidP="00C647B2">
      <w:pPr>
        <w:jc w:val="both"/>
      </w:pPr>
    </w:p>
    <w:p w:rsidR="00EC20B6" w:rsidRDefault="00EC20B6" w:rsidP="00C647B2">
      <w:pPr>
        <w:jc w:val="both"/>
      </w:pPr>
      <w:r>
        <w:t>*) si la fonction admet une symétrie de glissement (f(t+T/2)</w:t>
      </w:r>
      <w:r w:rsidR="00463800">
        <w:t xml:space="preserve"> </w:t>
      </w:r>
      <w:r>
        <w:t>=</w:t>
      </w:r>
      <w:r w:rsidR="00463800">
        <w:t xml:space="preserve"> </w:t>
      </w:r>
      <w:r>
        <w:t>-</w:t>
      </w:r>
      <w:r w:rsidR="00463800">
        <w:t xml:space="preserve"> </w:t>
      </w:r>
      <w:r>
        <w:t>f(t)), les coefficients d’ordre pair sont tous nuls.</w:t>
      </w:r>
    </w:p>
    <w:p w:rsidR="00E65BE0" w:rsidRDefault="00E65BE0" w:rsidP="00C647B2">
      <w:pPr>
        <w:jc w:val="both"/>
      </w:pPr>
    </w:p>
    <w:p w:rsidR="005D5393" w:rsidRDefault="001C651D" w:rsidP="00C647B2">
      <w:pPr>
        <w:jc w:val="both"/>
      </w:pPr>
      <w:r>
        <w:t>Nous pouvons regrouper les termes de même ordre (sin et cos) en une seule sinusoïde dont on obtiendra le module et la phase par les formules suivantes :</w:t>
      </w:r>
    </w:p>
    <w:p w:rsidR="00735473" w:rsidRDefault="00735473" w:rsidP="00C647B2">
      <w:pPr>
        <w:jc w:val="both"/>
      </w:pPr>
    </w:p>
    <w:p w:rsidR="00EB091C" w:rsidRDefault="001C651D" w:rsidP="00C647B2">
      <w:pPr>
        <w:jc w:val="both"/>
      </w:pPr>
      <w:r w:rsidRPr="005D5393">
        <w:rPr>
          <w:position w:val="-14"/>
        </w:rPr>
        <w:object w:dxaOrig="1500" w:dyaOrig="460">
          <v:shape id="_x0000_i1031" type="#_x0000_t75" style="width:75pt;height:23.25pt" o:ole="">
            <v:imagedata r:id="rId18" o:title=""/>
          </v:shape>
          <o:OLEObject Type="Embed" ProgID="Equation.3" ShapeID="_x0000_i1031" DrawAspect="Content" ObjectID="_1427006378" r:id="rId19"/>
        </w:object>
      </w:r>
      <w:r>
        <w:t xml:space="preserve"> et </w:t>
      </w:r>
      <w:r w:rsidRPr="005F1EFD">
        <w:rPr>
          <w:position w:val="-32"/>
        </w:rPr>
        <w:object w:dxaOrig="1680" w:dyaOrig="760">
          <v:shape id="_x0000_i1032" type="#_x0000_t75" style="width:84pt;height:38.25pt" o:ole="">
            <v:imagedata r:id="rId20" o:title=""/>
          </v:shape>
          <o:OLEObject Type="Embed" ProgID="Equation.3" ShapeID="_x0000_i1032" DrawAspect="Content" ObjectID="_1427006379" r:id="rId21"/>
        </w:object>
      </w:r>
    </w:p>
    <w:p w:rsidR="001C651D" w:rsidRDefault="001C651D" w:rsidP="00C647B2">
      <w:pPr>
        <w:jc w:val="both"/>
      </w:pPr>
    </w:p>
    <w:p w:rsidR="001C651D" w:rsidRDefault="001C651D" w:rsidP="00C647B2">
      <w:pPr>
        <w:jc w:val="both"/>
      </w:pPr>
      <w:r>
        <w:t>C</w:t>
      </w:r>
      <w:r>
        <w:rPr>
          <w:vertAlign w:val="subscript"/>
        </w:rPr>
        <w:t>n</w:t>
      </w:r>
      <w:r>
        <w:t xml:space="preserve"> et </w:t>
      </w:r>
      <w:r w:rsidRPr="001C651D">
        <w:rPr>
          <w:position w:val="-12"/>
        </w:rPr>
        <w:object w:dxaOrig="300" w:dyaOrig="360">
          <v:shape id="_x0000_i1033" type="#_x0000_t75" style="width:15pt;height:18pt" o:ole="">
            <v:imagedata r:id="rId22" o:title=""/>
          </v:shape>
          <o:OLEObject Type="Embed" ProgID="Equation.3" ShapeID="_x0000_i1033" DrawAspect="Content" ObjectID="_1427006380" r:id="rId23"/>
        </w:object>
      </w:r>
      <w:r>
        <w:t xml:space="preserve"> sont respectivement l’amplitude et l</w:t>
      </w:r>
      <w:r w:rsidR="00463800">
        <w:t>a</w:t>
      </w:r>
      <w:r>
        <w:t xml:space="preserve"> phase de l’harmonique de rang n de la décomposition de f(t).</w:t>
      </w:r>
    </w:p>
    <w:p w:rsidR="001C651D" w:rsidRDefault="001C651D" w:rsidP="00C647B2">
      <w:pPr>
        <w:jc w:val="both"/>
      </w:pPr>
    </w:p>
    <w:p w:rsidR="001C651D" w:rsidRDefault="001C651D" w:rsidP="00C647B2">
      <w:pPr>
        <w:jc w:val="both"/>
      </w:pPr>
      <w:r>
        <w:t>Ainsi la décomposition en série de Fourier devient :</w:t>
      </w:r>
    </w:p>
    <w:p w:rsidR="005F1EFD" w:rsidRDefault="005F1EFD" w:rsidP="00C647B2">
      <w:pPr>
        <w:jc w:val="both"/>
      </w:pPr>
    </w:p>
    <w:p w:rsidR="005F1EFD" w:rsidRDefault="008675D1" w:rsidP="00C647B2">
      <w:pPr>
        <w:jc w:val="both"/>
      </w:pPr>
      <w:r w:rsidRPr="005F1EFD">
        <w:rPr>
          <w:position w:val="-28"/>
        </w:rPr>
        <w:object w:dxaOrig="3420" w:dyaOrig="680">
          <v:shape id="_x0000_i1034" type="#_x0000_t75" style="width:171pt;height:33.75pt" o:ole="">
            <v:imagedata r:id="rId24" o:title=""/>
          </v:shape>
          <o:OLEObject Type="Embed" ProgID="Equation.3" ShapeID="_x0000_i1034" DrawAspect="Content" ObjectID="_1427006381" r:id="rId25"/>
        </w:object>
      </w:r>
    </w:p>
    <w:p w:rsidR="00EB091C" w:rsidRDefault="00EB091C" w:rsidP="00C647B2">
      <w:pPr>
        <w:jc w:val="both"/>
      </w:pPr>
    </w:p>
    <w:p w:rsidR="001C651D" w:rsidRPr="001C651D" w:rsidRDefault="001C651D" w:rsidP="00C647B2">
      <w:pPr>
        <w:jc w:val="both"/>
      </w:pPr>
      <w:r>
        <w:t>Nous pouvons alors tracer le spectre d’amplitude de f(t) en traçant une raie d’amplitude C</w:t>
      </w:r>
      <w:r>
        <w:rPr>
          <w:vertAlign w:val="subscript"/>
        </w:rPr>
        <w:t>n</w:t>
      </w:r>
      <w:r>
        <w:t xml:space="preserve"> à </w:t>
      </w:r>
      <w:r w:rsidRPr="001C651D">
        <w:rPr>
          <w:position w:val="-12"/>
        </w:rPr>
        <w:object w:dxaOrig="1040" w:dyaOrig="360">
          <v:shape id="_x0000_i1035" type="#_x0000_t75" style="width:51.75pt;height:18pt" o:ole="">
            <v:imagedata r:id="rId26" o:title=""/>
          </v:shape>
          <o:OLEObject Type="Embed" ProgID="Equation.3" ShapeID="_x0000_i1035" DrawAspect="Content" ObjectID="_1427006382" r:id="rId27"/>
        </w:object>
      </w:r>
      <w:r>
        <w:t xml:space="preserve"> pour chaque n.</w:t>
      </w:r>
    </w:p>
    <w:p w:rsidR="001C651D" w:rsidRDefault="001C651D" w:rsidP="00C647B2">
      <w:pPr>
        <w:jc w:val="both"/>
      </w:pPr>
    </w:p>
    <w:p w:rsidR="001C651D" w:rsidRDefault="001C651D" w:rsidP="00C647B2">
      <w:pPr>
        <w:jc w:val="both"/>
      </w:pPr>
      <w:r>
        <w:t xml:space="preserve">Il est souvent utile de représenter le spectre en échelle logarithmique pour l’axe vertical. En effet une raie </w:t>
      </w:r>
      <w:r w:rsidR="00C647B2">
        <w:t>faisant 1 % du fondamental est invisible sur un diagramme en échelle linéaire mais le devient parfaitement en échelle logarithmique.</w:t>
      </w:r>
    </w:p>
    <w:p w:rsidR="001C651D" w:rsidRDefault="001C651D" w:rsidP="00C647B2">
      <w:pPr>
        <w:jc w:val="both"/>
      </w:pPr>
      <w:bookmarkStart w:id="0" w:name="_GoBack"/>
      <w:bookmarkEnd w:id="0"/>
    </w:p>
    <w:p w:rsidR="00463800" w:rsidRDefault="00463800" w:rsidP="00C647B2">
      <w:pPr>
        <w:jc w:val="both"/>
        <w:rPr>
          <w:u w:val="single"/>
        </w:rPr>
      </w:pPr>
      <w:r w:rsidRPr="00463800">
        <w:rPr>
          <w:u w:val="single"/>
        </w:rPr>
        <w:t>Exemple :</w:t>
      </w:r>
    </w:p>
    <w:p w:rsidR="00463800" w:rsidRDefault="00463800" w:rsidP="00C647B2">
      <w:pPr>
        <w:jc w:val="both"/>
        <w:rPr>
          <w:u w:val="single"/>
        </w:rPr>
      </w:pPr>
    </w:p>
    <w:p w:rsidR="00463800" w:rsidRPr="00463800" w:rsidRDefault="00463800" w:rsidP="00C647B2">
      <w:pPr>
        <w:jc w:val="both"/>
      </w:pPr>
      <w:r>
        <w:t>Spectre en échelle linéaire :</w:t>
      </w:r>
    </w:p>
    <w:p w:rsidR="00463800" w:rsidRDefault="00463800" w:rsidP="00C647B2">
      <w:pPr>
        <w:jc w:val="both"/>
      </w:pPr>
    </w:p>
    <w:p w:rsidR="00463800" w:rsidRDefault="007B28A0" w:rsidP="00C647B2">
      <w:pPr>
        <w:jc w:val="both"/>
      </w:pPr>
      <w:r>
        <w:rPr>
          <w:noProof/>
        </w:rPr>
        <w:drawing>
          <wp:inline distT="0" distB="0" distL="0" distR="0">
            <wp:extent cx="4238625" cy="2257425"/>
            <wp:effectExtent l="0" t="0" r="9525" b="9525"/>
            <wp:docPr id="13" name="Picture 13" descr="SPECTR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ECTRELI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00" w:rsidRDefault="00463800" w:rsidP="00C647B2">
      <w:pPr>
        <w:jc w:val="both"/>
      </w:pPr>
    </w:p>
    <w:p w:rsidR="00463800" w:rsidRDefault="00463800" w:rsidP="00C647B2">
      <w:pPr>
        <w:jc w:val="both"/>
      </w:pPr>
      <w:r>
        <w:t>Spectre en échelle logarithmique :</w:t>
      </w:r>
    </w:p>
    <w:p w:rsidR="00463800" w:rsidRDefault="00463800" w:rsidP="00C647B2">
      <w:pPr>
        <w:jc w:val="both"/>
      </w:pPr>
    </w:p>
    <w:p w:rsidR="00463800" w:rsidRDefault="007B28A0" w:rsidP="00C647B2">
      <w:pPr>
        <w:jc w:val="both"/>
      </w:pPr>
      <w:r>
        <w:rPr>
          <w:noProof/>
        </w:rPr>
        <w:lastRenderedPageBreak/>
        <w:drawing>
          <wp:inline distT="0" distB="0" distL="0" distR="0">
            <wp:extent cx="4238625" cy="2257425"/>
            <wp:effectExtent l="0" t="0" r="9525" b="9525"/>
            <wp:docPr id="14" name="Picture 14" descr="SPECTRE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ECTRE LO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00" w:rsidRDefault="00463800" w:rsidP="00C647B2">
      <w:pPr>
        <w:jc w:val="both"/>
      </w:pPr>
    </w:p>
    <w:p w:rsidR="00463800" w:rsidRDefault="00463800" w:rsidP="00C647B2">
      <w:pPr>
        <w:jc w:val="both"/>
      </w:pPr>
      <w:r>
        <w:t>Le fondamental a une amplitude de 0 dBV soit 1 V.</w:t>
      </w:r>
    </w:p>
    <w:p w:rsidR="00463800" w:rsidRDefault="00463800" w:rsidP="00C647B2">
      <w:pPr>
        <w:jc w:val="both"/>
      </w:pPr>
      <w:r>
        <w:t xml:space="preserve">L’échelle logarithmique permet de voir des harmoniques à -35 dBV soit </w:t>
      </w:r>
      <w:r w:rsidRPr="00463800">
        <w:rPr>
          <w:position w:val="-6"/>
        </w:rPr>
        <w:object w:dxaOrig="1400" w:dyaOrig="499">
          <v:shape id="_x0000_i1036" type="#_x0000_t75" style="width:69.75pt;height:24.75pt" o:ole="">
            <v:imagedata r:id="rId30" o:title=""/>
          </v:shape>
          <o:OLEObject Type="Embed" ProgID="Equation.3" ShapeID="_x0000_i1036" DrawAspect="Content" ObjectID="_1427006383" r:id="rId31"/>
        </w:object>
      </w:r>
      <w:r>
        <w:t xml:space="preserve"> et moins encore.</w:t>
      </w:r>
    </w:p>
    <w:p w:rsidR="00463800" w:rsidRDefault="00463800" w:rsidP="00C647B2">
      <w:pPr>
        <w:jc w:val="both"/>
      </w:pPr>
    </w:p>
    <w:p w:rsidR="00463800" w:rsidRDefault="00463800" w:rsidP="00C647B2">
      <w:pPr>
        <w:jc w:val="both"/>
      </w:pPr>
    </w:p>
    <w:p w:rsidR="001C651D" w:rsidRDefault="00C647B2" w:rsidP="00C647B2">
      <w:pPr>
        <w:jc w:val="both"/>
      </w:pPr>
      <w:r>
        <w:t xml:space="preserve">La lecture d’un spectre d’amplitude permet de calculer sa valeur efficace sachant que la puissance d’un signal est la somme de la puissance de chacune de ses harmoniques : </w:t>
      </w:r>
    </w:p>
    <w:p w:rsidR="00EB091C" w:rsidRDefault="005F1EFD" w:rsidP="00C647B2">
      <w:pPr>
        <w:jc w:val="both"/>
      </w:pPr>
      <w:r w:rsidRPr="00EB091C">
        <w:rPr>
          <w:position w:val="-28"/>
        </w:rPr>
        <w:object w:dxaOrig="3820" w:dyaOrig="680">
          <v:shape id="_x0000_i1037" type="#_x0000_t75" style="width:191.25pt;height:33.75pt" o:ole="">
            <v:imagedata r:id="rId32" o:title=""/>
          </v:shape>
          <o:OLEObject Type="Embed" ProgID="Equation.3" ShapeID="_x0000_i1037" DrawAspect="Content" ObjectID="_1427006384" r:id="rId33"/>
        </w:object>
      </w:r>
    </w:p>
    <w:p w:rsidR="00C647B2" w:rsidRDefault="00C647B2" w:rsidP="00C647B2">
      <w:pPr>
        <w:jc w:val="both"/>
      </w:pPr>
    </w:p>
    <w:p w:rsidR="00F70183" w:rsidRDefault="00C647B2" w:rsidP="00C647B2">
      <w:pPr>
        <w:jc w:val="both"/>
      </w:pPr>
      <w:r w:rsidRPr="00C647B2">
        <w:rPr>
          <w:position w:val="-6"/>
        </w:rPr>
        <w:object w:dxaOrig="300" w:dyaOrig="240">
          <v:shape id="_x0000_i1038" type="#_x0000_t75" style="width:15pt;height:12pt" o:ole="">
            <v:imagedata r:id="rId34" o:title=""/>
          </v:shape>
          <o:OLEObject Type="Embed" ProgID="Equation.3" ShapeID="_x0000_i1038" DrawAspect="Content" ObjectID="_1427006385" r:id="rId35"/>
        </w:object>
      </w:r>
      <w:r w:rsidR="005F1EFD" w:rsidRPr="005D5393">
        <w:rPr>
          <w:position w:val="-30"/>
        </w:rPr>
        <w:object w:dxaOrig="7080" w:dyaOrig="780">
          <v:shape id="_x0000_i1039" type="#_x0000_t75" style="width:354pt;height:39pt" o:ole="">
            <v:imagedata r:id="rId36" o:title=""/>
          </v:shape>
          <o:OLEObject Type="Embed" ProgID="Equation.3" ShapeID="_x0000_i1039" DrawAspect="Content" ObjectID="_1427006386" r:id="rId37"/>
        </w:object>
      </w:r>
    </w:p>
    <w:p w:rsidR="00735473" w:rsidRDefault="00735473" w:rsidP="00C647B2">
      <w:pPr>
        <w:jc w:val="both"/>
      </w:pPr>
    </w:p>
    <w:p w:rsidR="00C647B2" w:rsidRDefault="00C647B2" w:rsidP="00C647B2">
      <w:pPr>
        <w:jc w:val="both"/>
      </w:pPr>
    </w:p>
    <w:p w:rsidR="00C647B2" w:rsidRDefault="00C647B2" w:rsidP="00C647B2">
      <w:pPr>
        <w:jc w:val="both"/>
      </w:pPr>
    </w:p>
    <w:p w:rsidR="00C647B2" w:rsidRDefault="00C647B2" w:rsidP="00C647B2">
      <w:pPr>
        <w:jc w:val="both"/>
      </w:pPr>
    </w:p>
    <w:p w:rsidR="00C647B2" w:rsidRDefault="00C647B2" w:rsidP="00C647B2">
      <w:pPr>
        <w:jc w:val="both"/>
      </w:pPr>
      <w:r>
        <w:t>Plus intéressant en électronique nous pouvons calculer le taux de distorsion d’un signal. Deux définitions existent :</w:t>
      </w:r>
    </w:p>
    <w:p w:rsidR="00C647B2" w:rsidRDefault="00C647B2" w:rsidP="00C647B2">
      <w:pPr>
        <w:jc w:val="both"/>
      </w:pPr>
    </w:p>
    <w:p w:rsidR="00735473" w:rsidRDefault="005D5393" w:rsidP="00C647B2">
      <w:pPr>
        <w:jc w:val="both"/>
      </w:pPr>
      <w:r w:rsidRPr="005D5393">
        <w:rPr>
          <w:position w:val="-60"/>
        </w:rPr>
        <w:object w:dxaOrig="6420" w:dyaOrig="1359">
          <v:shape id="_x0000_i1040" type="#_x0000_t75" style="width:321pt;height:68.25pt" o:ole="">
            <v:imagedata r:id="rId38" o:title=""/>
          </v:shape>
          <o:OLEObject Type="Embed" ProgID="Equation.3" ShapeID="_x0000_i1040" DrawAspect="Content" ObjectID="_1427006387" r:id="rId39"/>
        </w:object>
      </w:r>
    </w:p>
    <w:p w:rsidR="005D5393" w:rsidRDefault="005D5393" w:rsidP="00C647B2">
      <w:pPr>
        <w:jc w:val="both"/>
      </w:pPr>
      <w:r w:rsidRPr="005D5393">
        <w:rPr>
          <w:position w:val="-60"/>
        </w:rPr>
        <w:object w:dxaOrig="6460" w:dyaOrig="1359">
          <v:shape id="_x0000_i1041" type="#_x0000_t75" style="width:323.25pt;height:68.25pt" o:ole="">
            <v:imagedata r:id="rId40" o:title=""/>
          </v:shape>
          <o:OLEObject Type="Embed" ProgID="Equation.3" ShapeID="_x0000_i1041" DrawAspect="Content" ObjectID="_1427006388" r:id="rId41"/>
        </w:object>
      </w:r>
    </w:p>
    <w:p w:rsidR="005D5393" w:rsidRDefault="005D5393" w:rsidP="00C647B2">
      <w:pPr>
        <w:jc w:val="both"/>
      </w:pPr>
    </w:p>
    <w:p w:rsidR="00C647B2" w:rsidRPr="00C647B2" w:rsidRDefault="00C647B2" w:rsidP="00C647B2">
      <w:pPr>
        <w:jc w:val="both"/>
      </w:pPr>
      <w:r>
        <w:t>Rq : les C</w:t>
      </w:r>
      <w:r>
        <w:rPr>
          <w:vertAlign w:val="subscript"/>
        </w:rPr>
        <w:t>n</w:t>
      </w:r>
      <w:r>
        <w:t xml:space="preserve"> sont à exprimer en volts et non en dBV, ce qui n’aurait pas de sens.</w:t>
      </w:r>
    </w:p>
    <w:sectPr w:rsidR="00C647B2" w:rsidRPr="00C647B2" w:rsidSect="007B28A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73"/>
    <w:rsid w:val="001C651D"/>
    <w:rsid w:val="002B195F"/>
    <w:rsid w:val="003963AB"/>
    <w:rsid w:val="00463800"/>
    <w:rsid w:val="005D5393"/>
    <w:rsid w:val="005F1EFD"/>
    <w:rsid w:val="00735473"/>
    <w:rsid w:val="007B28A0"/>
    <w:rsid w:val="008675D1"/>
    <w:rsid w:val="009306EE"/>
    <w:rsid w:val="00C647B2"/>
    <w:rsid w:val="00C71817"/>
    <w:rsid w:val="00E65BE0"/>
    <w:rsid w:val="00EB091C"/>
    <w:rsid w:val="00EC20B6"/>
    <w:rsid w:val="00F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SERIES DE FOURIER :</vt:lpstr>
      <vt:lpstr>SERIES DE FOURIER :</vt:lpstr>
    </vt:vector>
  </TitlesOfParts>
  <Company>femtolab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dcterms:created xsi:type="dcterms:W3CDTF">2013-04-09T07:53:00Z</dcterms:created>
  <dcterms:modified xsi:type="dcterms:W3CDTF">2013-04-09T07:53:00Z</dcterms:modified>
</cp:coreProperties>
</file>