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87" w:rsidRDefault="007D5387" w:rsidP="00D70823">
      <w:pPr>
        <w:pStyle w:val="NoSpacing"/>
        <w:jc w:val="center"/>
        <w:rPr>
          <w:sz w:val="20"/>
        </w:rPr>
      </w:pPr>
    </w:p>
    <w:p w:rsidR="00D71E1E" w:rsidRPr="000D322B" w:rsidRDefault="000D322B" w:rsidP="00D70823">
      <w:pPr>
        <w:pStyle w:val="NoSpacing"/>
        <w:jc w:val="center"/>
        <w:rPr>
          <w:b/>
          <w:color w:val="C00000"/>
          <w:sz w:val="40"/>
        </w:rPr>
      </w:pPr>
      <w:r w:rsidRPr="000D322B">
        <w:rPr>
          <w:b/>
          <w:color w:val="C00000"/>
          <w:sz w:val="40"/>
        </w:rPr>
        <w:t>Anthropologie de la Maladie</w:t>
      </w:r>
    </w:p>
    <w:p w:rsidR="000D322B" w:rsidRDefault="000D322B" w:rsidP="00FF6635">
      <w:pPr>
        <w:pStyle w:val="NoSpacing"/>
        <w:rPr>
          <w:sz w:val="20"/>
        </w:rPr>
      </w:pPr>
    </w:p>
    <w:p w:rsidR="000D322B" w:rsidRDefault="000D322B" w:rsidP="00FF6635">
      <w:pPr>
        <w:pStyle w:val="NoSpacing"/>
        <w:rPr>
          <w:sz w:val="20"/>
        </w:rPr>
      </w:pPr>
    </w:p>
    <w:p w:rsidR="000D322B" w:rsidRPr="00C121F4" w:rsidRDefault="001B0C1F" w:rsidP="00FF6635">
      <w:pPr>
        <w:pStyle w:val="NoSpacing"/>
        <w:rPr>
          <w:b/>
          <w:sz w:val="20"/>
        </w:rPr>
      </w:pPr>
      <w:r w:rsidRPr="001B0C1F">
        <w:rPr>
          <w:b/>
          <w:sz w:val="20"/>
          <w:u w:val="single"/>
        </w:rPr>
        <w:t>Education à la nutrition</w:t>
      </w:r>
      <w:r w:rsidR="00C121F4">
        <w:rPr>
          <w:b/>
          <w:sz w:val="20"/>
          <w:u w:val="single"/>
        </w:rPr>
        <w:t> :</w:t>
      </w:r>
      <w:r w:rsidR="00C121F4">
        <w:rPr>
          <w:b/>
          <w:sz w:val="20"/>
        </w:rPr>
        <w:t xml:space="preserve"> Faire face aux représentations</w:t>
      </w:r>
    </w:p>
    <w:p w:rsidR="000D322B" w:rsidRDefault="000D0683" w:rsidP="001B0C1F">
      <w:pPr>
        <w:pStyle w:val="NoSpacing"/>
        <w:numPr>
          <w:ilvl w:val="0"/>
          <w:numId w:val="1"/>
        </w:numPr>
        <w:rPr>
          <w:sz w:val="20"/>
        </w:rPr>
      </w:pPr>
      <w:r>
        <w:rPr>
          <w:sz w:val="20"/>
        </w:rPr>
        <w:t>Le pain ne fait pas grossir : le nombre de sujets obèse augmente alors que la quantité de pain dans l’alimentation a diminué</w:t>
      </w:r>
    </w:p>
    <w:p w:rsidR="000D0683" w:rsidRDefault="000D0683" w:rsidP="000D0683">
      <w:pPr>
        <w:pStyle w:val="NoSpacing"/>
        <w:numPr>
          <w:ilvl w:val="0"/>
          <w:numId w:val="1"/>
        </w:numPr>
        <w:rPr>
          <w:sz w:val="20"/>
        </w:rPr>
      </w:pPr>
      <w:r>
        <w:rPr>
          <w:sz w:val="20"/>
        </w:rPr>
        <w:t>Mon estomac s’est rétréci</w:t>
      </w:r>
    </w:p>
    <w:p w:rsidR="000D0683" w:rsidRDefault="000D0683" w:rsidP="000D0683">
      <w:pPr>
        <w:pStyle w:val="NoSpacing"/>
        <w:numPr>
          <w:ilvl w:val="1"/>
          <w:numId w:val="1"/>
        </w:numPr>
        <w:rPr>
          <w:sz w:val="20"/>
        </w:rPr>
      </w:pPr>
      <w:r>
        <w:rPr>
          <w:sz w:val="20"/>
        </w:rPr>
        <w:t>Faux </w:t>
      </w:r>
    </w:p>
    <w:p w:rsidR="000D0683" w:rsidRDefault="000D0683" w:rsidP="000D0683">
      <w:pPr>
        <w:pStyle w:val="NoSpacing"/>
        <w:numPr>
          <w:ilvl w:val="0"/>
          <w:numId w:val="1"/>
        </w:numPr>
        <w:rPr>
          <w:sz w:val="20"/>
        </w:rPr>
      </w:pPr>
      <w:r>
        <w:rPr>
          <w:sz w:val="20"/>
        </w:rPr>
        <w:t xml:space="preserve">C’est le fer qui nourrit le muscle </w:t>
      </w:r>
    </w:p>
    <w:p w:rsidR="000D0683" w:rsidRDefault="000D0683" w:rsidP="000D0683">
      <w:pPr>
        <w:pStyle w:val="NoSpacing"/>
        <w:numPr>
          <w:ilvl w:val="0"/>
          <w:numId w:val="1"/>
        </w:numPr>
        <w:rPr>
          <w:sz w:val="20"/>
        </w:rPr>
      </w:pPr>
      <w:r>
        <w:rPr>
          <w:sz w:val="20"/>
        </w:rPr>
        <w:t xml:space="preserve">Mon gros ventre, c’est de l’eau / de l’air / </w:t>
      </w:r>
      <w:r w:rsidR="001B0C1F">
        <w:rPr>
          <w:sz w:val="20"/>
        </w:rPr>
        <w:t>du sucre</w:t>
      </w:r>
    </w:p>
    <w:p w:rsidR="001B0C1F" w:rsidRDefault="001B0C1F" w:rsidP="001B0C1F">
      <w:pPr>
        <w:pStyle w:val="NoSpacing"/>
        <w:numPr>
          <w:ilvl w:val="1"/>
          <w:numId w:val="1"/>
        </w:numPr>
        <w:rPr>
          <w:sz w:val="20"/>
        </w:rPr>
      </w:pPr>
      <w:r>
        <w:rPr>
          <w:sz w:val="20"/>
        </w:rPr>
        <w:t>Il faut faire la différence entre un gros ventre et du sucre</w:t>
      </w:r>
    </w:p>
    <w:p w:rsidR="001B0C1F" w:rsidRDefault="001B0C1F" w:rsidP="001B0C1F">
      <w:pPr>
        <w:pStyle w:val="NoSpacing"/>
        <w:numPr>
          <w:ilvl w:val="1"/>
          <w:numId w:val="1"/>
        </w:numPr>
        <w:rPr>
          <w:sz w:val="20"/>
        </w:rPr>
      </w:pPr>
      <w:r>
        <w:rPr>
          <w:sz w:val="20"/>
        </w:rPr>
        <w:t xml:space="preserve">Entre le diabète sucré (victime) et gras (causal) </w:t>
      </w:r>
    </w:p>
    <w:p w:rsidR="001B0C1F" w:rsidRDefault="001B0C1F" w:rsidP="001B0C1F">
      <w:pPr>
        <w:pStyle w:val="NoSpacing"/>
        <w:numPr>
          <w:ilvl w:val="1"/>
          <w:numId w:val="1"/>
        </w:numPr>
        <w:rPr>
          <w:sz w:val="20"/>
        </w:rPr>
      </w:pPr>
      <w:r>
        <w:rPr>
          <w:sz w:val="20"/>
        </w:rPr>
        <w:t>Comment montrer que c’</w:t>
      </w:r>
      <w:r w:rsidR="00C121F4">
        <w:rPr>
          <w:sz w:val="20"/>
        </w:rPr>
        <w:t>e</w:t>
      </w:r>
      <w:r>
        <w:rPr>
          <w:sz w:val="20"/>
        </w:rPr>
        <w:t xml:space="preserve">st parce qu’on réduit les sucres qu’on augmente le diabète ? </w:t>
      </w:r>
    </w:p>
    <w:p w:rsidR="001B0C1F" w:rsidRDefault="001B0C1F" w:rsidP="001B0C1F">
      <w:pPr>
        <w:pStyle w:val="NoSpacing"/>
        <w:numPr>
          <w:ilvl w:val="1"/>
          <w:numId w:val="1"/>
        </w:numPr>
        <w:rPr>
          <w:sz w:val="20"/>
        </w:rPr>
      </w:pPr>
      <w:r>
        <w:rPr>
          <w:sz w:val="20"/>
        </w:rPr>
        <w:t xml:space="preserve">Le sucre ne génère pas le diabète, c’est le gras dont l’oxydation compétitive se fait contre le glucose. </w:t>
      </w:r>
    </w:p>
    <w:p w:rsidR="001B0C1F" w:rsidRDefault="001B0C1F" w:rsidP="001B0C1F">
      <w:pPr>
        <w:pStyle w:val="NoSpacing"/>
        <w:numPr>
          <w:ilvl w:val="1"/>
          <w:numId w:val="1"/>
        </w:numPr>
        <w:rPr>
          <w:sz w:val="20"/>
        </w:rPr>
      </w:pPr>
      <w:r>
        <w:rPr>
          <w:sz w:val="20"/>
        </w:rPr>
        <w:t>Les adipocytes éliminent les lipides de façon compétitive contre le glucose</w:t>
      </w:r>
    </w:p>
    <w:p w:rsidR="001B0C1F" w:rsidRDefault="001B0C1F" w:rsidP="001B0C1F">
      <w:pPr>
        <w:pStyle w:val="NoSpacing"/>
        <w:numPr>
          <w:ilvl w:val="0"/>
          <w:numId w:val="1"/>
        </w:numPr>
        <w:rPr>
          <w:sz w:val="20"/>
        </w:rPr>
      </w:pPr>
      <w:r>
        <w:rPr>
          <w:sz w:val="20"/>
        </w:rPr>
        <w:t xml:space="preserve">Etc. </w:t>
      </w:r>
    </w:p>
    <w:p w:rsidR="001B0C1F" w:rsidRDefault="001B0C1F" w:rsidP="001B0C1F">
      <w:pPr>
        <w:pStyle w:val="NoSpacing"/>
        <w:rPr>
          <w:sz w:val="20"/>
        </w:rPr>
      </w:pPr>
    </w:p>
    <w:p w:rsidR="001B0C1F" w:rsidRPr="001B0C1F" w:rsidRDefault="001B0C1F" w:rsidP="001B0C1F">
      <w:pPr>
        <w:pStyle w:val="NoSpacing"/>
        <w:rPr>
          <w:b/>
          <w:sz w:val="20"/>
          <w:u w:val="single"/>
        </w:rPr>
      </w:pPr>
      <w:r w:rsidRPr="001B0C1F">
        <w:rPr>
          <w:b/>
          <w:sz w:val="20"/>
          <w:u w:val="single"/>
        </w:rPr>
        <w:t>Mortalité dans l’acidose lactique sévère</w:t>
      </w:r>
    </w:p>
    <w:p w:rsidR="001B0C1F" w:rsidRDefault="001B0C1F" w:rsidP="001B0C1F">
      <w:pPr>
        <w:pStyle w:val="NoSpacing"/>
        <w:numPr>
          <w:ilvl w:val="0"/>
          <w:numId w:val="2"/>
        </w:numPr>
        <w:rPr>
          <w:sz w:val="20"/>
        </w:rPr>
      </w:pPr>
      <w:r>
        <w:rPr>
          <w:sz w:val="20"/>
        </w:rPr>
        <w:t xml:space="preserve">Chez le sujet traité par Metformine : ca. 50% </w:t>
      </w:r>
    </w:p>
    <w:p w:rsidR="001B0C1F" w:rsidRDefault="001B0C1F" w:rsidP="001B0C1F">
      <w:pPr>
        <w:pStyle w:val="NoSpacing"/>
        <w:numPr>
          <w:ilvl w:val="0"/>
          <w:numId w:val="2"/>
        </w:numPr>
        <w:rPr>
          <w:sz w:val="20"/>
        </w:rPr>
      </w:pPr>
      <w:r>
        <w:rPr>
          <w:sz w:val="20"/>
        </w:rPr>
        <w:t xml:space="preserve">Il s’agit d’un </w:t>
      </w:r>
      <w:proofErr w:type="spellStart"/>
      <w:r>
        <w:rPr>
          <w:sz w:val="20"/>
        </w:rPr>
        <w:t>glucophage</w:t>
      </w:r>
      <w:proofErr w:type="spellEnd"/>
      <w:r>
        <w:rPr>
          <w:sz w:val="20"/>
        </w:rPr>
        <w:t xml:space="preserve"> qui peut générer une acidose lactique. </w:t>
      </w:r>
    </w:p>
    <w:p w:rsidR="001B0C1F" w:rsidRDefault="001B0C1F" w:rsidP="001B0C1F">
      <w:pPr>
        <w:pStyle w:val="NoSpacing"/>
        <w:numPr>
          <w:ilvl w:val="0"/>
          <w:numId w:val="2"/>
        </w:numPr>
        <w:rPr>
          <w:sz w:val="20"/>
        </w:rPr>
      </w:pPr>
      <w:r>
        <w:rPr>
          <w:sz w:val="20"/>
        </w:rPr>
        <w:t xml:space="preserve">Chez le sujet non traité : 100% </w:t>
      </w:r>
    </w:p>
    <w:p w:rsidR="001B0C1F" w:rsidRDefault="001B0C1F" w:rsidP="001B0C1F">
      <w:pPr>
        <w:pStyle w:val="NoSpacing"/>
        <w:numPr>
          <w:ilvl w:val="0"/>
          <w:numId w:val="2"/>
        </w:numPr>
        <w:rPr>
          <w:sz w:val="20"/>
        </w:rPr>
      </w:pPr>
      <w:r>
        <w:rPr>
          <w:sz w:val="20"/>
        </w:rPr>
        <w:t xml:space="preserve">La Metformine est donc protectrice là où on la pensait toxique. Le réel résiste donc aux préjugés. </w:t>
      </w:r>
    </w:p>
    <w:p w:rsidR="00234943" w:rsidRDefault="00234943" w:rsidP="00234943">
      <w:pPr>
        <w:pStyle w:val="NoSpacing"/>
        <w:rPr>
          <w:sz w:val="20"/>
        </w:rPr>
      </w:pPr>
    </w:p>
    <w:p w:rsidR="00234943" w:rsidRDefault="00234943" w:rsidP="00234943">
      <w:pPr>
        <w:pStyle w:val="NoSpacing"/>
        <w:rPr>
          <w:sz w:val="20"/>
        </w:rPr>
      </w:pPr>
      <w:proofErr w:type="spellStart"/>
      <w:r w:rsidRPr="00170DE6">
        <w:rPr>
          <w:b/>
          <w:sz w:val="20"/>
          <w:u w:val="single"/>
        </w:rPr>
        <w:t>Idios</w:t>
      </w:r>
      <w:proofErr w:type="spellEnd"/>
      <w:r w:rsidRPr="00170DE6">
        <w:rPr>
          <w:b/>
          <w:sz w:val="20"/>
        </w:rPr>
        <w:t xml:space="preserve"> </w:t>
      </w:r>
      <w:r>
        <w:rPr>
          <w:sz w:val="20"/>
        </w:rPr>
        <w:t xml:space="preserve">(grec) : particulier, propre, singulier dont on a </w:t>
      </w:r>
      <w:r w:rsidR="00C121F4">
        <w:rPr>
          <w:sz w:val="20"/>
        </w:rPr>
        <w:t>tiré le sens → à côté de la plaqu</w:t>
      </w:r>
      <w:r>
        <w:rPr>
          <w:sz w:val="20"/>
        </w:rPr>
        <w:t xml:space="preserve">e. </w:t>
      </w:r>
    </w:p>
    <w:p w:rsidR="00234943" w:rsidRDefault="00234943" w:rsidP="00234943">
      <w:pPr>
        <w:pStyle w:val="NoSpacing"/>
        <w:rPr>
          <w:sz w:val="20"/>
        </w:rPr>
      </w:pPr>
    </w:p>
    <w:p w:rsidR="00234943" w:rsidRDefault="00234943" w:rsidP="00234943">
      <w:pPr>
        <w:pStyle w:val="NoSpacing"/>
        <w:rPr>
          <w:sz w:val="20"/>
        </w:rPr>
      </w:pPr>
      <w:r>
        <w:rPr>
          <w:sz w:val="20"/>
        </w:rPr>
        <w:t>« C’est une tentation inhérente que de remplacer le réel par son double »</w:t>
      </w:r>
    </w:p>
    <w:p w:rsidR="00234943" w:rsidRDefault="00234943" w:rsidP="00234943">
      <w:pPr>
        <w:pStyle w:val="NoSpacing"/>
        <w:rPr>
          <w:sz w:val="20"/>
        </w:rPr>
      </w:pPr>
      <w:r>
        <w:rPr>
          <w:sz w:val="20"/>
        </w:rPr>
        <w:t>« Le réel n’est généralement admis que sous certaines conditions et seulement jusqu’à un certains point, s’il abuse et se montre déplaisant, la tolérance est suspendue. »</w:t>
      </w:r>
    </w:p>
    <w:p w:rsidR="00234943" w:rsidRDefault="00234943" w:rsidP="00234943">
      <w:pPr>
        <w:pStyle w:val="NoSpacing"/>
        <w:rPr>
          <w:sz w:val="20"/>
        </w:rPr>
      </w:pPr>
      <w:r>
        <w:rPr>
          <w:sz w:val="20"/>
        </w:rPr>
        <w:t xml:space="preserve">«  </w:t>
      </w:r>
      <w:r w:rsidR="00170DE6">
        <w:rPr>
          <w:sz w:val="20"/>
        </w:rPr>
        <w:t>A</w:t>
      </w:r>
      <w:r>
        <w:rPr>
          <w:sz w:val="20"/>
        </w:rPr>
        <w:t>u réel s’il insiste et tient absolument à être perçu, il pourra toujours aller se faire voire ailleurs. »</w:t>
      </w:r>
    </w:p>
    <w:p w:rsidR="00170DE6" w:rsidRDefault="00170DE6" w:rsidP="00234943">
      <w:pPr>
        <w:pStyle w:val="NoSpacing"/>
        <w:rPr>
          <w:sz w:val="20"/>
        </w:rPr>
      </w:pPr>
    </w:p>
    <w:p w:rsidR="00170DE6" w:rsidRDefault="00170DE6" w:rsidP="00234943">
      <w:pPr>
        <w:pStyle w:val="NoSpacing"/>
        <w:rPr>
          <w:sz w:val="20"/>
        </w:rPr>
      </w:pPr>
      <w:r>
        <w:rPr>
          <w:sz w:val="20"/>
        </w:rPr>
        <w:t xml:space="preserve">Les représentations, qu’on pourrait qualifier d’idioties, sont en fait une construction mentale qui a une fonction. En amont du comportement, il y a des </w:t>
      </w:r>
      <w:r w:rsidRPr="00C121F4">
        <w:rPr>
          <w:b/>
          <w:sz w:val="20"/>
        </w:rPr>
        <w:t>représentations</w:t>
      </w:r>
      <w:r>
        <w:rPr>
          <w:sz w:val="20"/>
        </w:rPr>
        <w:t xml:space="preserve"> qui agissent. On ne peut pas faire l’économie des représentations. Il faut faire la distinction entre le cognitif (la connaissance) et les traitements de la connaissance. </w:t>
      </w:r>
    </w:p>
    <w:p w:rsidR="00170DE6" w:rsidRDefault="00170DE6" w:rsidP="00234943">
      <w:pPr>
        <w:pStyle w:val="NoSpacing"/>
        <w:rPr>
          <w:sz w:val="20"/>
        </w:rPr>
      </w:pPr>
    </w:p>
    <w:p w:rsidR="00170DE6" w:rsidRDefault="00170DE6" w:rsidP="00234943">
      <w:pPr>
        <w:pStyle w:val="NoSpacing"/>
        <w:rPr>
          <w:sz w:val="20"/>
        </w:rPr>
      </w:pPr>
      <w:r>
        <w:rPr>
          <w:sz w:val="20"/>
        </w:rPr>
        <w:t>« Le concept scientifique fonctionne d’autant mieux qu’il est sevré de toute arrière-image. »</w:t>
      </w:r>
    </w:p>
    <w:p w:rsidR="00170DE6" w:rsidRDefault="00170DE6" w:rsidP="00234943">
      <w:pPr>
        <w:pStyle w:val="NoSpacing"/>
        <w:rPr>
          <w:sz w:val="20"/>
        </w:rPr>
      </w:pPr>
      <w:proofErr w:type="gramStart"/>
      <w:r>
        <w:rPr>
          <w:sz w:val="20"/>
        </w:rPr>
        <w:t>d=</w:t>
      </w:r>
      <w:proofErr w:type="gramEnd"/>
      <w:r>
        <w:rPr>
          <w:sz w:val="20"/>
        </w:rPr>
        <w:t xml:space="preserve">M/V </w:t>
      </w:r>
    </w:p>
    <w:p w:rsidR="00170DE6" w:rsidRDefault="00170DE6" w:rsidP="00234943">
      <w:pPr>
        <w:pStyle w:val="NoSpacing"/>
        <w:rPr>
          <w:sz w:val="20"/>
        </w:rPr>
      </w:pPr>
      <w:r>
        <w:rPr>
          <w:sz w:val="20"/>
        </w:rPr>
        <w:t>Le concept d’obstacle à la connaissance</w:t>
      </w:r>
    </w:p>
    <w:p w:rsidR="00170DE6" w:rsidRDefault="00170DE6" w:rsidP="00234943">
      <w:pPr>
        <w:pStyle w:val="NoSpacing"/>
        <w:rPr>
          <w:sz w:val="20"/>
        </w:rPr>
      </w:pPr>
    </w:p>
    <w:p w:rsidR="00170DE6" w:rsidRDefault="00170DE6" w:rsidP="00234943">
      <w:pPr>
        <w:pStyle w:val="NoSpacing"/>
        <w:rPr>
          <w:sz w:val="20"/>
        </w:rPr>
      </w:pPr>
      <w:r>
        <w:rPr>
          <w:sz w:val="20"/>
        </w:rPr>
        <w:t>« C’est dans l’acte même de connaître, intimement, qu’apparaissent, par une sorte de nécessité fo</w:t>
      </w:r>
      <w:r w:rsidR="00D56806">
        <w:rPr>
          <w:sz w:val="20"/>
        </w:rPr>
        <w:t>nctionnelle, des lenteurs et de</w:t>
      </w:r>
      <w:r>
        <w:rPr>
          <w:sz w:val="20"/>
        </w:rPr>
        <w:t>s</w:t>
      </w:r>
      <w:r w:rsidR="00D56806">
        <w:rPr>
          <w:sz w:val="20"/>
        </w:rPr>
        <w:t xml:space="preserve"> </w:t>
      </w:r>
      <w:r>
        <w:rPr>
          <w:sz w:val="20"/>
        </w:rPr>
        <w:t>troubles. C’est là que nous montrerons des causes de stagnation et même de régression,  c’e</w:t>
      </w:r>
      <w:r w:rsidR="00C121F4">
        <w:rPr>
          <w:sz w:val="20"/>
        </w:rPr>
        <w:t>st là que nous décèleron</w:t>
      </w:r>
      <w:r w:rsidR="00D56806">
        <w:rPr>
          <w:sz w:val="20"/>
        </w:rPr>
        <w:t>t ces c</w:t>
      </w:r>
      <w:r>
        <w:rPr>
          <w:sz w:val="20"/>
        </w:rPr>
        <w:t>auses d’in</w:t>
      </w:r>
      <w:r w:rsidR="00D56806">
        <w:rPr>
          <w:sz w:val="20"/>
        </w:rPr>
        <w:t>e</w:t>
      </w:r>
      <w:r>
        <w:rPr>
          <w:sz w:val="20"/>
        </w:rPr>
        <w:t>rtie que nous appellerons des obstacles épidémiologiques. »</w:t>
      </w:r>
    </w:p>
    <w:p w:rsidR="00D56806" w:rsidRDefault="00D56806" w:rsidP="00234943">
      <w:pPr>
        <w:pStyle w:val="NoSpacing"/>
        <w:rPr>
          <w:sz w:val="20"/>
        </w:rPr>
      </w:pPr>
    </w:p>
    <w:p w:rsidR="00D56806" w:rsidRPr="00D56806" w:rsidRDefault="00D56806" w:rsidP="00234943">
      <w:pPr>
        <w:pStyle w:val="NoSpacing"/>
        <w:rPr>
          <w:b/>
          <w:sz w:val="20"/>
          <w:u w:val="single"/>
        </w:rPr>
      </w:pPr>
      <w:r w:rsidRPr="00D56806">
        <w:rPr>
          <w:b/>
          <w:sz w:val="20"/>
          <w:u w:val="single"/>
        </w:rPr>
        <w:t xml:space="preserve">Facteurs liés </w:t>
      </w:r>
    </w:p>
    <w:p w:rsidR="00D56806" w:rsidRDefault="00D56806" w:rsidP="00D56806">
      <w:pPr>
        <w:pStyle w:val="NoSpacing"/>
        <w:numPr>
          <w:ilvl w:val="0"/>
          <w:numId w:val="3"/>
        </w:numPr>
        <w:rPr>
          <w:sz w:val="20"/>
        </w:rPr>
      </w:pPr>
      <w:r>
        <w:rPr>
          <w:sz w:val="20"/>
        </w:rPr>
        <w:t>A la personne</w:t>
      </w:r>
    </w:p>
    <w:p w:rsidR="00D56806" w:rsidRDefault="00D56806" w:rsidP="00D56806">
      <w:pPr>
        <w:pStyle w:val="NoSpacing"/>
        <w:numPr>
          <w:ilvl w:val="0"/>
          <w:numId w:val="3"/>
        </w:numPr>
        <w:rPr>
          <w:sz w:val="20"/>
        </w:rPr>
      </w:pPr>
      <w:r>
        <w:rPr>
          <w:sz w:val="20"/>
        </w:rPr>
        <w:t>Quand on parle de nutrition, on cherche à réduire le poids</w:t>
      </w:r>
    </w:p>
    <w:p w:rsidR="00D56806" w:rsidRDefault="00D56806" w:rsidP="00D56806">
      <w:pPr>
        <w:pStyle w:val="NoSpacing"/>
        <w:numPr>
          <w:ilvl w:val="0"/>
          <w:numId w:val="3"/>
        </w:numPr>
        <w:rPr>
          <w:sz w:val="20"/>
        </w:rPr>
      </w:pPr>
      <w:r>
        <w:rPr>
          <w:sz w:val="20"/>
        </w:rPr>
        <w:t xml:space="preserve">Ce n’est pas le changement qu’il faut interroger, c’est ce qui fait résistance au changement </w:t>
      </w:r>
    </w:p>
    <w:p w:rsidR="00D56806" w:rsidRDefault="00D56806" w:rsidP="00D56806">
      <w:pPr>
        <w:pStyle w:val="NoSpacing"/>
        <w:numPr>
          <w:ilvl w:val="1"/>
          <w:numId w:val="3"/>
        </w:numPr>
        <w:rPr>
          <w:sz w:val="20"/>
        </w:rPr>
      </w:pPr>
      <w:r>
        <w:rPr>
          <w:sz w:val="20"/>
        </w:rPr>
        <w:t xml:space="preserve">Les proches </w:t>
      </w:r>
    </w:p>
    <w:p w:rsidR="00D56806" w:rsidRDefault="00D56806" w:rsidP="00D56806">
      <w:pPr>
        <w:pStyle w:val="NoSpacing"/>
        <w:numPr>
          <w:ilvl w:val="1"/>
          <w:numId w:val="3"/>
        </w:numPr>
        <w:rPr>
          <w:sz w:val="20"/>
        </w:rPr>
      </w:pPr>
      <w:r>
        <w:rPr>
          <w:sz w:val="20"/>
        </w:rPr>
        <w:t xml:space="preserve">Aux professionnels de santé </w:t>
      </w:r>
    </w:p>
    <w:p w:rsidR="00D56806" w:rsidRDefault="001F4CB7" w:rsidP="00D56806">
      <w:pPr>
        <w:pStyle w:val="NoSpacing"/>
        <w:numPr>
          <w:ilvl w:val="1"/>
          <w:numId w:val="3"/>
        </w:numPr>
        <w:rPr>
          <w:sz w:val="20"/>
        </w:rPr>
      </w:pPr>
      <w:r>
        <w:rPr>
          <w:sz w:val="20"/>
        </w:rPr>
        <w:t xml:space="preserve">A la société : </w:t>
      </w:r>
      <w:r w:rsidR="00D56806">
        <w:rPr>
          <w:sz w:val="20"/>
        </w:rPr>
        <w:t xml:space="preserve">Les médias </w:t>
      </w:r>
    </w:p>
    <w:p w:rsidR="001F4CB7" w:rsidRDefault="001F4CB7" w:rsidP="00D56806">
      <w:pPr>
        <w:pStyle w:val="NoSpacing"/>
        <w:numPr>
          <w:ilvl w:val="1"/>
          <w:numId w:val="3"/>
        </w:numPr>
        <w:rPr>
          <w:sz w:val="20"/>
        </w:rPr>
      </w:pPr>
      <w:r>
        <w:rPr>
          <w:sz w:val="20"/>
        </w:rPr>
        <w:t>A l’évolution</w:t>
      </w:r>
    </w:p>
    <w:p w:rsidR="001F4CB7" w:rsidRDefault="001F4CB7" w:rsidP="00D56806">
      <w:pPr>
        <w:pStyle w:val="NoSpacing"/>
        <w:numPr>
          <w:ilvl w:val="1"/>
          <w:numId w:val="3"/>
        </w:numPr>
        <w:rPr>
          <w:sz w:val="20"/>
        </w:rPr>
      </w:pPr>
      <w:r>
        <w:rPr>
          <w:sz w:val="20"/>
        </w:rPr>
        <w:t>Facteurs génétiques, autres facteurs biomédicaux, facteurs anthropologiques, méconnaissance de la connaissance, représentations du corps, complexité des phénomènes, stress ambiant, pulsions, facteurs psychologiques, dolorisme, culpabilité, honte, rapport au temps, rapport au changement, dualisme entre le corps et l’esprit, perte de confiance, peur de guérir, le rapport à la mort, facteurs sociaux ….</w:t>
      </w:r>
    </w:p>
    <w:p w:rsidR="004F1358" w:rsidRDefault="00AE0431" w:rsidP="004F1358">
      <w:pPr>
        <w:pStyle w:val="NoSpacing"/>
        <w:numPr>
          <w:ilvl w:val="0"/>
          <w:numId w:val="3"/>
        </w:numPr>
        <w:rPr>
          <w:sz w:val="20"/>
        </w:rPr>
      </w:pPr>
      <w:r>
        <w:rPr>
          <w:sz w:val="20"/>
        </w:rPr>
        <w:t xml:space="preserve">On cherche souvent à s’écarter du réel, or c’est LE facteur </w:t>
      </w:r>
    </w:p>
    <w:p w:rsidR="00AE0431" w:rsidRDefault="00AE0431" w:rsidP="00AE0431">
      <w:pPr>
        <w:pStyle w:val="NoSpacing"/>
        <w:rPr>
          <w:sz w:val="20"/>
        </w:rPr>
      </w:pPr>
    </w:p>
    <w:p w:rsidR="00AE0431" w:rsidRDefault="00AE0431" w:rsidP="00AE0431">
      <w:pPr>
        <w:pStyle w:val="NoSpacing"/>
        <w:rPr>
          <w:sz w:val="20"/>
        </w:rPr>
      </w:pPr>
    </w:p>
    <w:p w:rsidR="00AE0431" w:rsidRDefault="00AE0431" w:rsidP="00AE0431">
      <w:pPr>
        <w:pStyle w:val="NoSpacing"/>
        <w:rPr>
          <w:sz w:val="20"/>
        </w:rPr>
      </w:pPr>
    </w:p>
    <w:p w:rsidR="00AE0431" w:rsidRPr="00C121F4" w:rsidRDefault="00C121F4" w:rsidP="00AE0431">
      <w:pPr>
        <w:pStyle w:val="NoSpacing"/>
        <w:rPr>
          <w:b/>
          <w:sz w:val="20"/>
          <w:u w:val="single"/>
        </w:rPr>
      </w:pPr>
      <w:r w:rsidRPr="00C121F4">
        <w:rPr>
          <w:b/>
          <w:sz w:val="20"/>
          <w:u w:val="single"/>
        </w:rPr>
        <w:t>Concernant l’examen :</w:t>
      </w:r>
    </w:p>
    <w:p w:rsidR="00AE0431" w:rsidRDefault="00AE0431" w:rsidP="00AE0431">
      <w:pPr>
        <w:pStyle w:val="NoSpacing"/>
        <w:numPr>
          <w:ilvl w:val="0"/>
          <w:numId w:val="4"/>
        </w:numPr>
        <w:rPr>
          <w:sz w:val="20"/>
        </w:rPr>
      </w:pPr>
      <w:bookmarkStart w:id="0" w:name="_GoBack"/>
      <w:bookmarkEnd w:id="0"/>
      <w:r>
        <w:rPr>
          <w:sz w:val="20"/>
        </w:rPr>
        <w:t>que ce qui a été fait</w:t>
      </w:r>
      <w:r w:rsidR="00C121F4">
        <w:rPr>
          <w:sz w:val="20"/>
        </w:rPr>
        <w:t xml:space="preserve"> (Arrêt à la vitamine B6)</w:t>
      </w:r>
    </w:p>
    <w:p w:rsidR="00AE0431" w:rsidRDefault="00AE0431" w:rsidP="00AE0431">
      <w:pPr>
        <w:pStyle w:val="NoSpacing"/>
        <w:numPr>
          <w:ilvl w:val="0"/>
          <w:numId w:val="4"/>
        </w:numPr>
        <w:rPr>
          <w:sz w:val="20"/>
        </w:rPr>
      </w:pPr>
      <w:r>
        <w:rPr>
          <w:sz w:val="20"/>
        </w:rPr>
        <w:t>Pas de points négatifs</w:t>
      </w:r>
    </w:p>
    <w:p w:rsidR="00AE0431" w:rsidRDefault="00AE0431" w:rsidP="00AE0431">
      <w:pPr>
        <w:pStyle w:val="NoSpacing"/>
        <w:numPr>
          <w:ilvl w:val="0"/>
          <w:numId w:val="4"/>
        </w:numPr>
        <w:rPr>
          <w:sz w:val="20"/>
        </w:rPr>
      </w:pPr>
      <w:proofErr w:type="spellStart"/>
      <w:r>
        <w:rPr>
          <w:sz w:val="20"/>
        </w:rPr>
        <w:lastRenderedPageBreak/>
        <w:t>QCMs</w:t>
      </w:r>
      <w:proofErr w:type="spellEnd"/>
      <w:r>
        <w:rPr>
          <w:sz w:val="20"/>
        </w:rPr>
        <w:t> : combinaison de propositions</w:t>
      </w:r>
    </w:p>
    <w:p w:rsidR="00BD698A" w:rsidRDefault="00BD698A" w:rsidP="00AE0431">
      <w:pPr>
        <w:pStyle w:val="NoSpacing"/>
        <w:numPr>
          <w:ilvl w:val="0"/>
          <w:numId w:val="4"/>
        </w:numPr>
        <w:rPr>
          <w:sz w:val="20"/>
        </w:rPr>
      </w:pPr>
      <w:r>
        <w:rPr>
          <w:sz w:val="20"/>
        </w:rPr>
        <w:t xml:space="preserve">30 </w:t>
      </w:r>
      <w:proofErr w:type="spellStart"/>
      <w:r>
        <w:rPr>
          <w:sz w:val="20"/>
        </w:rPr>
        <w:t>QCMs</w:t>
      </w:r>
      <w:proofErr w:type="spellEnd"/>
    </w:p>
    <w:p w:rsidR="00BD698A" w:rsidRDefault="00BD698A" w:rsidP="00BD698A">
      <w:pPr>
        <w:pStyle w:val="NoSpacing"/>
        <w:rPr>
          <w:sz w:val="20"/>
        </w:rPr>
      </w:pPr>
    </w:p>
    <w:p w:rsidR="00BD698A" w:rsidRPr="00C121F4" w:rsidRDefault="00BD698A" w:rsidP="00BD698A">
      <w:pPr>
        <w:pStyle w:val="NoSpacing"/>
        <w:rPr>
          <w:b/>
          <w:sz w:val="20"/>
          <w:u w:val="single"/>
        </w:rPr>
      </w:pPr>
      <w:r w:rsidRPr="00C121F4">
        <w:rPr>
          <w:b/>
          <w:sz w:val="20"/>
          <w:u w:val="single"/>
        </w:rPr>
        <w:t>Conseils</w:t>
      </w:r>
    </w:p>
    <w:p w:rsidR="00BD698A" w:rsidRDefault="00BD698A" w:rsidP="00BD698A">
      <w:pPr>
        <w:pStyle w:val="NoSpacing"/>
        <w:numPr>
          <w:ilvl w:val="0"/>
          <w:numId w:val="5"/>
        </w:numPr>
        <w:rPr>
          <w:sz w:val="20"/>
        </w:rPr>
      </w:pPr>
      <w:r>
        <w:rPr>
          <w:sz w:val="20"/>
        </w:rPr>
        <w:t xml:space="preserve">Les </w:t>
      </w:r>
      <w:proofErr w:type="spellStart"/>
      <w:r>
        <w:rPr>
          <w:sz w:val="20"/>
        </w:rPr>
        <w:t>FdR</w:t>
      </w:r>
      <w:proofErr w:type="spellEnd"/>
    </w:p>
    <w:p w:rsidR="00BD698A" w:rsidRDefault="00BD698A" w:rsidP="00BD698A">
      <w:pPr>
        <w:pStyle w:val="NoSpacing"/>
        <w:numPr>
          <w:ilvl w:val="1"/>
          <w:numId w:val="5"/>
        </w:numPr>
        <w:rPr>
          <w:sz w:val="20"/>
        </w:rPr>
      </w:pPr>
      <w:r>
        <w:rPr>
          <w:sz w:val="20"/>
        </w:rPr>
        <w:t>+++ : ce qui importe n’e</w:t>
      </w:r>
      <w:r w:rsidR="00C121F4">
        <w:rPr>
          <w:sz w:val="20"/>
        </w:rPr>
        <w:t>st pas LE grand facteur mais</w:t>
      </w:r>
      <w:r>
        <w:rPr>
          <w:sz w:val="20"/>
        </w:rPr>
        <w:t xml:space="preserve"> la de combinaisons de facteurs qui pourrai</w:t>
      </w:r>
      <w:r w:rsidR="00C121F4">
        <w:rPr>
          <w:sz w:val="20"/>
        </w:rPr>
        <w:t>ent paraître modestement élevés.</w:t>
      </w:r>
    </w:p>
    <w:p w:rsidR="00BD698A" w:rsidRDefault="00BD698A" w:rsidP="00BD698A">
      <w:pPr>
        <w:pStyle w:val="NoSpacing"/>
        <w:numPr>
          <w:ilvl w:val="1"/>
          <w:numId w:val="5"/>
        </w:numPr>
        <w:rPr>
          <w:sz w:val="20"/>
        </w:rPr>
      </w:pPr>
      <w:r>
        <w:rPr>
          <w:sz w:val="20"/>
        </w:rPr>
        <w:t xml:space="preserve">La sommation de petits facteurs pèse beaucoup plus lourd qu’un seul facteur très élevé. </w:t>
      </w:r>
    </w:p>
    <w:p w:rsidR="00BD698A" w:rsidRDefault="00BD698A" w:rsidP="00BD698A">
      <w:pPr>
        <w:pStyle w:val="NoSpacing"/>
        <w:numPr>
          <w:ilvl w:val="1"/>
          <w:numId w:val="5"/>
        </w:numPr>
        <w:rPr>
          <w:sz w:val="20"/>
        </w:rPr>
      </w:pPr>
      <w:r>
        <w:rPr>
          <w:sz w:val="20"/>
        </w:rPr>
        <w:t xml:space="preserve">Approche de santé publique, individuelle … </w:t>
      </w:r>
    </w:p>
    <w:p w:rsidR="00BD698A" w:rsidRDefault="00BD698A" w:rsidP="00BD698A">
      <w:pPr>
        <w:pStyle w:val="NoSpacing"/>
        <w:numPr>
          <w:ilvl w:val="1"/>
          <w:numId w:val="5"/>
        </w:numPr>
        <w:rPr>
          <w:sz w:val="20"/>
        </w:rPr>
      </w:pPr>
      <w:r>
        <w:rPr>
          <w:sz w:val="20"/>
        </w:rPr>
        <w:t>Facteur sous-entend un lien de causalité</w:t>
      </w:r>
    </w:p>
    <w:p w:rsidR="00BD698A" w:rsidRDefault="00BD698A" w:rsidP="00BD698A">
      <w:pPr>
        <w:pStyle w:val="NoSpacing"/>
        <w:numPr>
          <w:ilvl w:val="1"/>
          <w:numId w:val="5"/>
        </w:numPr>
        <w:rPr>
          <w:sz w:val="20"/>
        </w:rPr>
      </w:pPr>
      <w:r>
        <w:rPr>
          <w:sz w:val="20"/>
        </w:rPr>
        <w:t xml:space="preserve">Modèle de la </w:t>
      </w:r>
      <w:proofErr w:type="spellStart"/>
      <w:r>
        <w:rPr>
          <w:sz w:val="20"/>
        </w:rPr>
        <w:t>curvilinéarité</w:t>
      </w:r>
      <w:proofErr w:type="spellEnd"/>
      <w:r>
        <w:rPr>
          <w:sz w:val="20"/>
        </w:rPr>
        <w:t xml:space="preserve"> </w:t>
      </w:r>
    </w:p>
    <w:p w:rsidR="00BD698A" w:rsidRDefault="00BD698A" w:rsidP="00BD698A">
      <w:pPr>
        <w:pStyle w:val="NoSpacing"/>
        <w:numPr>
          <w:ilvl w:val="0"/>
          <w:numId w:val="5"/>
        </w:numPr>
        <w:rPr>
          <w:sz w:val="20"/>
        </w:rPr>
      </w:pPr>
      <w:r>
        <w:rPr>
          <w:sz w:val="20"/>
        </w:rPr>
        <w:t xml:space="preserve">TIAC </w:t>
      </w:r>
    </w:p>
    <w:p w:rsidR="005E2FA6" w:rsidRDefault="005E2FA6" w:rsidP="00BD698A">
      <w:pPr>
        <w:pStyle w:val="NoSpacing"/>
        <w:numPr>
          <w:ilvl w:val="0"/>
          <w:numId w:val="5"/>
        </w:numPr>
        <w:rPr>
          <w:sz w:val="20"/>
        </w:rPr>
      </w:pPr>
      <w:r>
        <w:rPr>
          <w:sz w:val="20"/>
        </w:rPr>
        <w:t xml:space="preserve">Les vitamines </w:t>
      </w:r>
    </w:p>
    <w:p w:rsidR="005E2FA6" w:rsidRDefault="005E2FA6" w:rsidP="005E2FA6">
      <w:pPr>
        <w:pStyle w:val="NoSpacing"/>
        <w:numPr>
          <w:ilvl w:val="0"/>
          <w:numId w:val="5"/>
        </w:numPr>
        <w:rPr>
          <w:sz w:val="20"/>
        </w:rPr>
      </w:pPr>
      <w:r>
        <w:rPr>
          <w:sz w:val="20"/>
        </w:rPr>
        <w:t>L’obésité</w:t>
      </w:r>
    </w:p>
    <w:p w:rsidR="004C2D7F" w:rsidRDefault="005E2FA6" w:rsidP="005E2FA6">
      <w:pPr>
        <w:pStyle w:val="NoSpacing"/>
        <w:numPr>
          <w:ilvl w:val="1"/>
          <w:numId w:val="5"/>
        </w:numPr>
        <w:rPr>
          <w:sz w:val="20"/>
        </w:rPr>
      </w:pPr>
      <w:r>
        <w:rPr>
          <w:sz w:val="20"/>
        </w:rPr>
        <w:t>++++ : il n’y a pas une mais DES obésités, notamment des phénotypes</w:t>
      </w:r>
    </w:p>
    <w:p w:rsidR="005B54FF" w:rsidRDefault="00C121F4" w:rsidP="005E2FA6">
      <w:pPr>
        <w:pStyle w:val="NoSpacing"/>
        <w:numPr>
          <w:ilvl w:val="1"/>
          <w:numId w:val="5"/>
        </w:numPr>
        <w:rPr>
          <w:sz w:val="20"/>
        </w:rPr>
      </w:pPr>
      <w:r>
        <w:rPr>
          <w:sz w:val="20"/>
        </w:rPr>
        <w:t>Entrées et dépenses ! A</w:t>
      </w:r>
      <w:r w:rsidR="004C2D7F">
        <w:rPr>
          <w:sz w:val="20"/>
        </w:rPr>
        <w:t>ttention aux aléas de l’enquête alimentaire</w:t>
      </w:r>
    </w:p>
    <w:p w:rsidR="005B54FF" w:rsidRDefault="005B54FF" w:rsidP="005B54FF">
      <w:pPr>
        <w:pStyle w:val="NoSpacing"/>
        <w:numPr>
          <w:ilvl w:val="0"/>
          <w:numId w:val="5"/>
        </w:numPr>
        <w:rPr>
          <w:sz w:val="20"/>
        </w:rPr>
      </w:pPr>
      <w:r>
        <w:rPr>
          <w:sz w:val="20"/>
        </w:rPr>
        <w:t>Conséquences métaboliques de l’agression +++</w:t>
      </w:r>
    </w:p>
    <w:p w:rsidR="005B54FF" w:rsidRDefault="005B54FF" w:rsidP="005B54FF">
      <w:pPr>
        <w:pStyle w:val="NoSpacing"/>
        <w:numPr>
          <w:ilvl w:val="0"/>
          <w:numId w:val="5"/>
        </w:numPr>
        <w:rPr>
          <w:sz w:val="20"/>
        </w:rPr>
      </w:pPr>
      <w:r>
        <w:rPr>
          <w:sz w:val="20"/>
        </w:rPr>
        <w:t>Nutrition et personnes âgées</w:t>
      </w:r>
    </w:p>
    <w:p w:rsidR="005B54FF" w:rsidRDefault="005B54FF" w:rsidP="005B54FF">
      <w:pPr>
        <w:pStyle w:val="NoSpacing"/>
        <w:numPr>
          <w:ilvl w:val="1"/>
          <w:numId w:val="5"/>
        </w:numPr>
        <w:rPr>
          <w:sz w:val="20"/>
        </w:rPr>
      </w:pPr>
      <w:r>
        <w:rPr>
          <w:sz w:val="20"/>
        </w:rPr>
        <w:t>Marqueurs biologiques+++</w:t>
      </w:r>
    </w:p>
    <w:p w:rsidR="00D308B3" w:rsidRDefault="009F7129" w:rsidP="009F7129">
      <w:pPr>
        <w:pStyle w:val="NoSpacing"/>
        <w:numPr>
          <w:ilvl w:val="0"/>
          <w:numId w:val="5"/>
        </w:numPr>
        <w:rPr>
          <w:sz w:val="20"/>
        </w:rPr>
      </w:pPr>
      <w:r>
        <w:rPr>
          <w:sz w:val="20"/>
        </w:rPr>
        <w:t xml:space="preserve">La dépense énergétique </w:t>
      </w:r>
    </w:p>
    <w:p w:rsidR="00AE0431" w:rsidRPr="005E2FA6" w:rsidRDefault="00D308B3" w:rsidP="009F7129">
      <w:pPr>
        <w:pStyle w:val="NoSpacing"/>
        <w:numPr>
          <w:ilvl w:val="0"/>
          <w:numId w:val="5"/>
        </w:numPr>
        <w:rPr>
          <w:sz w:val="20"/>
        </w:rPr>
      </w:pPr>
      <w:r>
        <w:rPr>
          <w:sz w:val="20"/>
        </w:rPr>
        <w:t>Le comportement alimentaire</w:t>
      </w:r>
      <w:r w:rsidR="00AE0431" w:rsidRPr="005E2FA6">
        <w:rPr>
          <w:sz w:val="20"/>
        </w:rPr>
        <w:br/>
      </w:r>
    </w:p>
    <w:p w:rsidR="00BD698A" w:rsidRPr="00FF6635" w:rsidRDefault="00BD698A" w:rsidP="00BD698A">
      <w:pPr>
        <w:pStyle w:val="NoSpacing"/>
        <w:ind w:left="1440"/>
        <w:rPr>
          <w:sz w:val="20"/>
        </w:rPr>
      </w:pPr>
    </w:p>
    <w:sectPr w:rsidR="00BD698A" w:rsidRPr="00FF6635" w:rsidSect="00FF66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52" w:rsidRDefault="00716752" w:rsidP="00FF6635">
      <w:pPr>
        <w:spacing w:after="0" w:line="240" w:lineRule="auto"/>
      </w:pPr>
      <w:r>
        <w:separator/>
      </w:r>
    </w:p>
  </w:endnote>
  <w:endnote w:type="continuationSeparator" w:id="0">
    <w:p w:rsidR="00716752" w:rsidRDefault="00716752" w:rsidP="00FF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52" w:rsidRDefault="00716752" w:rsidP="00FF6635">
      <w:pPr>
        <w:spacing w:after="0" w:line="240" w:lineRule="auto"/>
      </w:pPr>
      <w:r>
        <w:separator/>
      </w:r>
    </w:p>
  </w:footnote>
  <w:footnote w:type="continuationSeparator" w:id="0">
    <w:p w:rsidR="00716752" w:rsidRDefault="00716752" w:rsidP="00FF6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3CC"/>
    <w:multiLevelType w:val="hybridMultilevel"/>
    <w:tmpl w:val="636A66D2"/>
    <w:lvl w:ilvl="0" w:tplc="69507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BB159B"/>
    <w:multiLevelType w:val="hybridMultilevel"/>
    <w:tmpl w:val="301A9B96"/>
    <w:lvl w:ilvl="0" w:tplc="69507AB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E45239"/>
    <w:multiLevelType w:val="hybridMultilevel"/>
    <w:tmpl w:val="4F049B54"/>
    <w:lvl w:ilvl="0" w:tplc="69507A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FC1430C"/>
    <w:multiLevelType w:val="hybridMultilevel"/>
    <w:tmpl w:val="45F07784"/>
    <w:lvl w:ilvl="0" w:tplc="69507AB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D920EBE"/>
    <w:multiLevelType w:val="hybridMultilevel"/>
    <w:tmpl w:val="67860D2C"/>
    <w:lvl w:ilvl="0" w:tplc="69507AB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6635"/>
    <w:rsid w:val="000D0683"/>
    <w:rsid w:val="000D322B"/>
    <w:rsid w:val="00147A81"/>
    <w:rsid w:val="00170DE6"/>
    <w:rsid w:val="001B0C1F"/>
    <w:rsid w:val="001F4CB7"/>
    <w:rsid w:val="00234943"/>
    <w:rsid w:val="00264AA1"/>
    <w:rsid w:val="00394767"/>
    <w:rsid w:val="004C2D7F"/>
    <w:rsid w:val="004F1358"/>
    <w:rsid w:val="004F36B0"/>
    <w:rsid w:val="005B54FF"/>
    <w:rsid w:val="005E2FA6"/>
    <w:rsid w:val="00716752"/>
    <w:rsid w:val="007D5387"/>
    <w:rsid w:val="009F7129"/>
    <w:rsid w:val="00AE0431"/>
    <w:rsid w:val="00BD698A"/>
    <w:rsid w:val="00C121F4"/>
    <w:rsid w:val="00C23D88"/>
    <w:rsid w:val="00D308B3"/>
    <w:rsid w:val="00D56806"/>
    <w:rsid w:val="00D70823"/>
    <w:rsid w:val="00D71E1E"/>
    <w:rsid w:val="00FF6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635"/>
    <w:pPr>
      <w:spacing w:after="0" w:line="240" w:lineRule="auto"/>
    </w:pPr>
  </w:style>
  <w:style w:type="paragraph" w:styleId="Header">
    <w:name w:val="header"/>
    <w:basedOn w:val="Normal"/>
    <w:link w:val="HeaderChar"/>
    <w:uiPriority w:val="99"/>
    <w:unhideWhenUsed/>
    <w:rsid w:val="00FF66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635"/>
  </w:style>
  <w:style w:type="paragraph" w:styleId="Footer">
    <w:name w:val="footer"/>
    <w:basedOn w:val="Normal"/>
    <w:link w:val="FooterChar"/>
    <w:uiPriority w:val="99"/>
    <w:unhideWhenUsed/>
    <w:rsid w:val="00FF66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635"/>
  </w:style>
  <w:style w:type="paragraph" w:styleId="BalloonText">
    <w:name w:val="Balloon Text"/>
    <w:basedOn w:val="Normal"/>
    <w:link w:val="BalloonTextChar"/>
    <w:uiPriority w:val="99"/>
    <w:semiHidden/>
    <w:unhideWhenUsed/>
    <w:rsid w:val="00FF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cp:lastPrinted>2013-05-06T10:04:00Z</cp:lastPrinted>
  <dcterms:created xsi:type="dcterms:W3CDTF">2013-05-03T06:03:00Z</dcterms:created>
  <dcterms:modified xsi:type="dcterms:W3CDTF">2015-09-22T16:57:00Z</dcterms:modified>
</cp:coreProperties>
</file>