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6B" w:rsidRPr="00AC0747" w:rsidRDefault="00702747" w:rsidP="009F578A">
      <w:pPr>
        <w:pStyle w:val="NoSpacing"/>
        <w:jc w:val="center"/>
        <w:rPr>
          <w:b/>
          <w:color w:val="C00000"/>
          <w:sz w:val="40"/>
        </w:rPr>
      </w:pPr>
      <w:r>
        <w:rPr>
          <w:b/>
          <w:color w:val="C00000"/>
          <w:sz w:val="40"/>
        </w:rPr>
        <w:t>Compléments Alimentaires</w:t>
      </w:r>
    </w:p>
    <w:p w:rsidR="00AC0747" w:rsidRDefault="00AC0747" w:rsidP="009F578A">
      <w:pPr>
        <w:pStyle w:val="NoSpacing"/>
        <w:jc w:val="center"/>
        <w:rPr>
          <w:sz w:val="20"/>
        </w:rPr>
      </w:pPr>
    </w:p>
    <w:p w:rsidR="00702747" w:rsidRDefault="00702747" w:rsidP="00B721D7">
      <w:pPr>
        <w:pStyle w:val="NoSpacing"/>
        <w:rPr>
          <w:sz w:val="20"/>
        </w:rPr>
      </w:pPr>
      <w:bookmarkStart w:id="0" w:name="_GoBack"/>
      <w:bookmarkEnd w:id="0"/>
    </w:p>
    <w:p w:rsidR="00AC0747" w:rsidRDefault="00702747" w:rsidP="00AC0747">
      <w:pPr>
        <w:pStyle w:val="NoSpacing"/>
        <w:numPr>
          <w:ilvl w:val="0"/>
          <w:numId w:val="1"/>
        </w:numPr>
        <w:rPr>
          <w:sz w:val="20"/>
        </w:rPr>
      </w:pPr>
      <w:r w:rsidRPr="00702747">
        <w:rPr>
          <w:b/>
          <w:color w:val="C00000"/>
        </w:rPr>
        <w:t>Qu’est-ce qu’un c</w:t>
      </w:r>
      <w:r>
        <w:rPr>
          <w:b/>
          <w:color w:val="C00000"/>
        </w:rPr>
        <w:t>omplément a</w:t>
      </w:r>
      <w:r w:rsidR="00AC0747" w:rsidRPr="00702747">
        <w:rPr>
          <w:b/>
          <w:color w:val="C00000"/>
        </w:rPr>
        <w:t>limentaire</w:t>
      </w:r>
      <w:r w:rsidRPr="00702747">
        <w:rPr>
          <w:b/>
          <w:color w:val="C00000"/>
        </w:rPr>
        <w:t> ?</w:t>
      </w:r>
      <w:r w:rsidR="00AC0747">
        <w:rPr>
          <w:sz w:val="20"/>
        </w:rPr>
        <w:t xml:space="preserve"> («</w:t>
      </w:r>
      <w:r w:rsidR="00AC0747" w:rsidRPr="00702747">
        <w:rPr>
          <w:b/>
          <w:sz w:val="20"/>
        </w:rPr>
        <w:t> alicaments</w:t>
      </w:r>
      <w:r w:rsidR="00AC0747">
        <w:rPr>
          <w:sz w:val="20"/>
        </w:rPr>
        <w:t> », voire CNO compléments nutritionnels oraux)</w:t>
      </w:r>
    </w:p>
    <w:p w:rsidR="00AC0747" w:rsidRDefault="00AC0747" w:rsidP="00AC0747">
      <w:pPr>
        <w:pStyle w:val="NoSpacing"/>
        <w:numPr>
          <w:ilvl w:val="0"/>
          <w:numId w:val="3"/>
        </w:numPr>
        <w:rPr>
          <w:sz w:val="20"/>
        </w:rPr>
      </w:pPr>
      <w:r>
        <w:rPr>
          <w:sz w:val="20"/>
        </w:rPr>
        <w:t xml:space="preserve">Denrée alimentaire dont le but est de </w:t>
      </w:r>
      <w:r w:rsidRPr="00702747">
        <w:rPr>
          <w:b/>
          <w:sz w:val="20"/>
        </w:rPr>
        <w:t>compléter un régime alimenta</w:t>
      </w:r>
      <w:r w:rsidR="00702747" w:rsidRPr="00702747">
        <w:rPr>
          <w:b/>
          <w:sz w:val="20"/>
        </w:rPr>
        <w:t>ir</w:t>
      </w:r>
      <w:r w:rsidRPr="00702747">
        <w:rPr>
          <w:b/>
          <w:sz w:val="20"/>
        </w:rPr>
        <w:t>e normal</w:t>
      </w:r>
      <w:r>
        <w:rPr>
          <w:sz w:val="20"/>
        </w:rPr>
        <w:t xml:space="preserve"> et qui constitue une source concentrée de nutriments ou d’autres substances ayant un effet nutritionnel ou physiologique </w:t>
      </w:r>
    </w:p>
    <w:p w:rsidR="00AC0747" w:rsidRDefault="00AC0747" w:rsidP="00AC0747">
      <w:pPr>
        <w:pStyle w:val="NoSpacing"/>
        <w:numPr>
          <w:ilvl w:val="0"/>
          <w:numId w:val="3"/>
        </w:numPr>
        <w:rPr>
          <w:sz w:val="20"/>
        </w:rPr>
      </w:pPr>
      <w:r>
        <w:rPr>
          <w:sz w:val="20"/>
        </w:rPr>
        <w:t xml:space="preserve">Destiné à être pris par </w:t>
      </w:r>
      <w:r w:rsidRPr="00702747">
        <w:rPr>
          <w:b/>
          <w:sz w:val="20"/>
        </w:rPr>
        <w:t>VO</w:t>
      </w:r>
      <w:r>
        <w:rPr>
          <w:sz w:val="20"/>
        </w:rPr>
        <w:t xml:space="preserve"> </w:t>
      </w:r>
    </w:p>
    <w:p w:rsidR="00AC0747" w:rsidRDefault="00702747" w:rsidP="00AC0747">
      <w:pPr>
        <w:pStyle w:val="NoSpacing"/>
        <w:numPr>
          <w:ilvl w:val="0"/>
          <w:numId w:val="3"/>
        </w:numPr>
        <w:rPr>
          <w:sz w:val="20"/>
        </w:rPr>
      </w:pPr>
      <w:r>
        <w:rPr>
          <w:sz w:val="20"/>
        </w:rPr>
        <w:t>Eventuellement conditionné en doses sous forme de comprimés, gélules, pastilles, ampoules</w:t>
      </w:r>
    </w:p>
    <w:p w:rsidR="00702747" w:rsidRDefault="00702747" w:rsidP="00AC0747">
      <w:pPr>
        <w:pStyle w:val="NoSpacing"/>
        <w:numPr>
          <w:ilvl w:val="0"/>
          <w:numId w:val="3"/>
        </w:numPr>
        <w:rPr>
          <w:sz w:val="20"/>
        </w:rPr>
      </w:pPr>
      <w:r>
        <w:rPr>
          <w:sz w:val="20"/>
        </w:rPr>
        <w:t>Denrées alimentaires régies par une réglementation européenne</w:t>
      </w:r>
    </w:p>
    <w:p w:rsidR="00702747" w:rsidRDefault="00702747" w:rsidP="00702747">
      <w:pPr>
        <w:pStyle w:val="NoSpacing"/>
        <w:ind w:left="720"/>
        <w:rPr>
          <w:sz w:val="20"/>
        </w:rPr>
      </w:pPr>
    </w:p>
    <w:p w:rsidR="00AC0747" w:rsidRPr="00702747" w:rsidRDefault="00AC0747" w:rsidP="00AC0747">
      <w:pPr>
        <w:pStyle w:val="NoSpacing"/>
        <w:rPr>
          <w:b/>
          <w:sz w:val="20"/>
          <w:u w:val="single"/>
        </w:rPr>
      </w:pPr>
      <w:r w:rsidRPr="00702747">
        <w:rPr>
          <w:b/>
          <w:sz w:val="20"/>
          <w:u w:val="single"/>
        </w:rPr>
        <w:t>Ce ne sont pas des médicaments</w:t>
      </w:r>
    </w:p>
    <w:p w:rsidR="00AC0747" w:rsidRDefault="00AC0747" w:rsidP="00AC0747">
      <w:pPr>
        <w:pStyle w:val="NoSpacing"/>
        <w:numPr>
          <w:ilvl w:val="0"/>
          <w:numId w:val="4"/>
        </w:numPr>
        <w:rPr>
          <w:sz w:val="20"/>
        </w:rPr>
      </w:pPr>
      <w:r>
        <w:rPr>
          <w:sz w:val="20"/>
        </w:rPr>
        <w:t>Même s’ils peuvent être présentés sous forme de g</w:t>
      </w:r>
      <w:r w:rsidR="00702747">
        <w:rPr>
          <w:sz w:val="20"/>
        </w:rPr>
        <w:t>é</w:t>
      </w:r>
      <w:r>
        <w:rPr>
          <w:sz w:val="20"/>
        </w:rPr>
        <w:t>lules, pastilles, comprimés et autres formes de préparations liquides ou en poudre destinées  être prises en unités mesurées</w:t>
      </w:r>
    </w:p>
    <w:p w:rsidR="00702747" w:rsidRDefault="00702747" w:rsidP="00AC0747">
      <w:pPr>
        <w:pStyle w:val="NoSpacing"/>
        <w:numPr>
          <w:ilvl w:val="0"/>
          <w:numId w:val="4"/>
        </w:numPr>
        <w:rPr>
          <w:sz w:val="20"/>
        </w:rPr>
      </w:pPr>
      <w:r>
        <w:rPr>
          <w:sz w:val="20"/>
        </w:rPr>
        <w:t>En aucun cas une alternative aux médicaments</w:t>
      </w:r>
    </w:p>
    <w:p w:rsidR="00702747" w:rsidRDefault="00702747" w:rsidP="00AC0747">
      <w:pPr>
        <w:pStyle w:val="NoSpacing"/>
        <w:numPr>
          <w:ilvl w:val="0"/>
          <w:numId w:val="4"/>
        </w:numPr>
        <w:rPr>
          <w:sz w:val="20"/>
        </w:rPr>
      </w:pPr>
      <w:r>
        <w:rPr>
          <w:sz w:val="20"/>
        </w:rPr>
        <w:t>Pas d’action thérapeutique et n’ont pas de vocation à prévenir ou guérir une maladie</w:t>
      </w:r>
    </w:p>
    <w:p w:rsidR="00AC0747" w:rsidRDefault="00AC0747" w:rsidP="00AC0747">
      <w:pPr>
        <w:pStyle w:val="NoSpacing"/>
        <w:rPr>
          <w:sz w:val="20"/>
        </w:rPr>
      </w:pPr>
    </w:p>
    <w:p w:rsidR="00AC0747" w:rsidRPr="00702747" w:rsidRDefault="00AC0747" w:rsidP="00AC0747">
      <w:pPr>
        <w:pStyle w:val="NoSpacing"/>
        <w:rPr>
          <w:b/>
          <w:sz w:val="20"/>
          <w:u w:val="single"/>
        </w:rPr>
      </w:pPr>
      <w:r w:rsidRPr="00702747">
        <w:rPr>
          <w:b/>
          <w:sz w:val="20"/>
          <w:u w:val="single"/>
        </w:rPr>
        <w:t>Que contiennent les compléments alimentaires</w:t>
      </w:r>
      <w:r w:rsidR="00702747" w:rsidRPr="00702747">
        <w:rPr>
          <w:b/>
          <w:sz w:val="20"/>
          <w:u w:val="single"/>
        </w:rPr>
        <w:t> ?</w:t>
      </w:r>
    </w:p>
    <w:p w:rsidR="00AC0747" w:rsidRDefault="00AC0747" w:rsidP="00AC0747">
      <w:pPr>
        <w:pStyle w:val="NoSpacing"/>
        <w:numPr>
          <w:ilvl w:val="0"/>
          <w:numId w:val="4"/>
        </w:numPr>
        <w:rPr>
          <w:sz w:val="20"/>
        </w:rPr>
      </w:pPr>
      <w:r w:rsidRPr="00702747">
        <w:rPr>
          <w:b/>
          <w:sz w:val="20"/>
        </w:rPr>
        <w:t xml:space="preserve">Nutriments </w:t>
      </w:r>
      <w:r>
        <w:rPr>
          <w:sz w:val="20"/>
        </w:rPr>
        <w:t>(vitamines et minéraux)</w:t>
      </w:r>
    </w:p>
    <w:p w:rsidR="00AC0747" w:rsidRDefault="00AC0747" w:rsidP="00AC0747">
      <w:pPr>
        <w:pStyle w:val="NoSpacing"/>
        <w:numPr>
          <w:ilvl w:val="0"/>
          <w:numId w:val="4"/>
        </w:numPr>
        <w:rPr>
          <w:sz w:val="20"/>
        </w:rPr>
      </w:pPr>
      <w:r w:rsidRPr="00702747">
        <w:rPr>
          <w:b/>
          <w:sz w:val="20"/>
        </w:rPr>
        <w:t>Plantes</w:t>
      </w:r>
      <w:r>
        <w:rPr>
          <w:sz w:val="20"/>
        </w:rPr>
        <w:t xml:space="preserve"> à l’exclusion des plantes destinées à un usage exclusivement thérapeutique = phytothérapie </w:t>
      </w:r>
    </w:p>
    <w:p w:rsidR="00AC0747" w:rsidRDefault="00AC0747" w:rsidP="00AC0747">
      <w:pPr>
        <w:pStyle w:val="NoSpacing"/>
        <w:numPr>
          <w:ilvl w:val="0"/>
          <w:numId w:val="4"/>
        </w:numPr>
        <w:rPr>
          <w:sz w:val="20"/>
        </w:rPr>
      </w:pPr>
      <w:r>
        <w:rPr>
          <w:sz w:val="20"/>
        </w:rPr>
        <w:t>Substance à but nutri</w:t>
      </w:r>
      <w:r w:rsidR="00702747">
        <w:rPr>
          <w:sz w:val="20"/>
        </w:rPr>
        <w:t>ti</w:t>
      </w:r>
      <w:r>
        <w:rPr>
          <w:sz w:val="20"/>
        </w:rPr>
        <w:t xml:space="preserve">onnel ou physiologique </w:t>
      </w:r>
    </w:p>
    <w:p w:rsidR="00AC0747" w:rsidRDefault="00AC0747" w:rsidP="00AC0747">
      <w:pPr>
        <w:pStyle w:val="NoSpacing"/>
        <w:numPr>
          <w:ilvl w:val="0"/>
          <w:numId w:val="4"/>
        </w:numPr>
        <w:rPr>
          <w:sz w:val="20"/>
        </w:rPr>
      </w:pPr>
      <w:r>
        <w:rPr>
          <w:sz w:val="20"/>
        </w:rPr>
        <w:t>Additifs, ar</w:t>
      </w:r>
      <w:r w:rsidR="00702747">
        <w:rPr>
          <w:sz w:val="20"/>
        </w:rPr>
        <w:t>ô</w:t>
      </w:r>
      <w:r>
        <w:rPr>
          <w:sz w:val="20"/>
        </w:rPr>
        <w:t>mes dont l’emploi est autorisé en alimentation humain</w:t>
      </w:r>
      <w:r w:rsidR="00702747">
        <w:rPr>
          <w:sz w:val="20"/>
        </w:rPr>
        <w:t>e</w:t>
      </w:r>
      <w:r>
        <w:rPr>
          <w:sz w:val="20"/>
        </w:rPr>
        <w:t xml:space="preserve"> </w:t>
      </w:r>
    </w:p>
    <w:p w:rsidR="00AC0747" w:rsidRDefault="00AC0747" w:rsidP="00AC0747">
      <w:pPr>
        <w:pStyle w:val="NoSpacing"/>
        <w:ind w:left="720"/>
        <w:rPr>
          <w:sz w:val="20"/>
        </w:rPr>
      </w:pPr>
    </w:p>
    <w:p w:rsidR="00AC0747" w:rsidRPr="00702747" w:rsidRDefault="00AC0747" w:rsidP="00AC0747">
      <w:pPr>
        <w:pStyle w:val="NoSpacing"/>
        <w:numPr>
          <w:ilvl w:val="0"/>
          <w:numId w:val="4"/>
        </w:numPr>
        <w:rPr>
          <w:b/>
          <w:sz w:val="20"/>
        </w:rPr>
      </w:pPr>
      <w:r w:rsidRPr="00702747">
        <w:rPr>
          <w:b/>
          <w:sz w:val="20"/>
        </w:rPr>
        <w:t>Les substances chimiques utilisées comme sources de vita</w:t>
      </w:r>
      <w:r w:rsidR="00702747" w:rsidRPr="00702747">
        <w:rPr>
          <w:b/>
          <w:sz w:val="20"/>
        </w:rPr>
        <w:t>m</w:t>
      </w:r>
      <w:r w:rsidRPr="00702747">
        <w:rPr>
          <w:b/>
          <w:sz w:val="20"/>
        </w:rPr>
        <w:t>ines et de minéraux dans la fabrication de co</w:t>
      </w:r>
      <w:r w:rsidR="00702747" w:rsidRPr="00702747">
        <w:rPr>
          <w:b/>
          <w:sz w:val="20"/>
        </w:rPr>
        <w:t>mpléments alimentaires doivent ê</w:t>
      </w:r>
      <w:r w:rsidRPr="00702747">
        <w:rPr>
          <w:b/>
          <w:sz w:val="20"/>
        </w:rPr>
        <w:t>tre sans danger</w:t>
      </w:r>
    </w:p>
    <w:p w:rsidR="00AC0747" w:rsidRDefault="00702747" w:rsidP="00AC0747">
      <w:pPr>
        <w:pStyle w:val="NoSpacing"/>
        <w:numPr>
          <w:ilvl w:val="0"/>
          <w:numId w:val="4"/>
        </w:numPr>
        <w:rPr>
          <w:sz w:val="20"/>
        </w:rPr>
      </w:pPr>
      <w:r>
        <w:rPr>
          <w:sz w:val="20"/>
        </w:rPr>
        <w:t>Les fibres, les AA et les plantes incorporés doivent être autorisées après avis de l’ANSES.</w:t>
      </w:r>
    </w:p>
    <w:p w:rsidR="00AC0747" w:rsidRDefault="00AC0747" w:rsidP="00AC0747">
      <w:pPr>
        <w:pStyle w:val="NoSpacing"/>
        <w:rPr>
          <w:sz w:val="20"/>
        </w:rPr>
      </w:pPr>
    </w:p>
    <w:p w:rsidR="00AC0747" w:rsidRPr="00702747" w:rsidRDefault="00AC0747" w:rsidP="00AC0747">
      <w:pPr>
        <w:pStyle w:val="NoSpacing"/>
        <w:rPr>
          <w:b/>
          <w:sz w:val="20"/>
          <w:u w:val="single"/>
        </w:rPr>
      </w:pPr>
      <w:r w:rsidRPr="00702747">
        <w:rPr>
          <w:b/>
          <w:sz w:val="20"/>
          <w:u w:val="single"/>
        </w:rPr>
        <w:t xml:space="preserve">Où sont vendus les compléments alimentaires ? </w:t>
      </w:r>
    </w:p>
    <w:p w:rsidR="00AC0747" w:rsidRDefault="00AC0747" w:rsidP="00AC0747">
      <w:pPr>
        <w:pStyle w:val="NoSpacing"/>
        <w:numPr>
          <w:ilvl w:val="0"/>
          <w:numId w:val="4"/>
        </w:numPr>
        <w:rPr>
          <w:sz w:val="20"/>
        </w:rPr>
      </w:pPr>
      <w:r>
        <w:rPr>
          <w:sz w:val="20"/>
        </w:rPr>
        <w:t xml:space="preserve">Vendus sans ordonnance </w:t>
      </w:r>
    </w:p>
    <w:p w:rsidR="00702747" w:rsidRDefault="00702747" w:rsidP="00AC0747">
      <w:pPr>
        <w:pStyle w:val="NoSpacing"/>
        <w:numPr>
          <w:ilvl w:val="0"/>
          <w:numId w:val="4"/>
        </w:numPr>
        <w:rPr>
          <w:sz w:val="20"/>
        </w:rPr>
      </w:pPr>
      <w:r>
        <w:rPr>
          <w:sz w:val="20"/>
        </w:rPr>
        <w:t>Pharmacies, grandes surfaces, magasins spécialisés, internet</w:t>
      </w:r>
    </w:p>
    <w:p w:rsidR="00702747" w:rsidRDefault="00702747" w:rsidP="00AC0747">
      <w:pPr>
        <w:pStyle w:val="NoSpacing"/>
        <w:numPr>
          <w:ilvl w:val="0"/>
          <w:numId w:val="4"/>
        </w:numPr>
        <w:rPr>
          <w:sz w:val="20"/>
        </w:rPr>
      </w:pPr>
      <w:r>
        <w:rPr>
          <w:sz w:val="20"/>
        </w:rPr>
        <w:t> ! Achat sur internet</w:t>
      </w:r>
    </w:p>
    <w:p w:rsidR="00702747" w:rsidRDefault="00702747" w:rsidP="00702747">
      <w:pPr>
        <w:pStyle w:val="NoSpacing"/>
        <w:numPr>
          <w:ilvl w:val="1"/>
          <w:numId w:val="4"/>
        </w:numPr>
        <w:rPr>
          <w:sz w:val="20"/>
        </w:rPr>
      </w:pPr>
      <w:r>
        <w:rPr>
          <w:sz w:val="20"/>
        </w:rPr>
        <w:t xml:space="preserve">Provenance inconnue </w:t>
      </w:r>
    </w:p>
    <w:p w:rsidR="00702747" w:rsidRDefault="00702747" w:rsidP="00702747">
      <w:pPr>
        <w:pStyle w:val="NoSpacing"/>
        <w:numPr>
          <w:ilvl w:val="1"/>
          <w:numId w:val="4"/>
        </w:numPr>
        <w:rPr>
          <w:sz w:val="20"/>
        </w:rPr>
      </w:pPr>
      <w:r>
        <w:rPr>
          <w:sz w:val="20"/>
        </w:rPr>
        <w:t>Authenticité</w:t>
      </w:r>
    </w:p>
    <w:p w:rsidR="00702747" w:rsidRDefault="00702747" w:rsidP="00702747">
      <w:pPr>
        <w:pStyle w:val="NoSpacing"/>
        <w:numPr>
          <w:ilvl w:val="1"/>
          <w:numId w:val="4"/>
        </w:numPr>
        <w:rPr>
          <w:sz w:val="20"/>
        </w:rPr>
      </w:pPr>
      <w:r>
        <w:rPr>
          <w:sz w:val="20"/>
        </w:rPr>
        <w:t xml:space="preserve">Composition exacte </w:t>
      </w:r>
    </w:p>
    <w:p w:rsidR="00702747" w:rsidRDefault="00702747" w:rsidP="00702747">
      <w:pPr>
        <w:pStyle w:val="NoSpacing"/>
        <w:numPr>
          <w:ilvl w:val="1"/>
          <w:numId w:val="4"/>
        </w:numPr>
        <w:rPr>
          <w:sz w:val="20"/>
        </w:rPr>
      </w:pPr>
      <w:r>
        <w:rPr>
          <w:sz w:val="20"/>
        </w:rPr>
        <w:t>Qualité</w:t>
      </w:r>
    </w:p>
    <w:p w:rsidR="00702747" w:rsidRPr="00702747" w:rsidRDefault="00702747" w:rsidP="00702747">
      <w:pPr>
        <w:pStyle w:val="NoSpacing"/>
        <w:numPr>
          <w:ilvl w:val="1"/>
          <w:numId w:val="4"/>
        </w:numPr>
        <w:rPr>
          <w:sz w:val="20"/>
        </w:rPr>
      </w:pPr>
      <w:r>
        <w:rPr>
          <w:sz w:val="20"/>
        </w:rPr>
        <w:t>Pas de garanties</w:t>
      </w:r>
    </w:p>
    <w:p w:rsidR="00AC0747" w:rsidRDefault="00AC0747" w:rsidP="00FC3B6A">
      <w:pPr>
        <w:pStyle w:val="NoSpacing"/>
        <w:rPr>
          <w:sz w:val="20"/>
        </w:rPr>
      </w:pPr>
    </w:p>
    <w:p w:rsidR="00FC3B6A" w:rsidRPr="00702747" w:rsidRDefault="00FC3B6A" w:rsidP="00FC3B6A">
      <w:pPr>
        <w:pStyle w:val="NoSpacing"/>
        <w:rPr>
          <w:b/>
          <w:sz w:val="20"/>
          <w:u w:val="single"/>
        </w:rPr>
      </w:pPr>
      <w:r w:rsidRPr="00702747">
        <w:rPr>
          <w:b/>
          <w:sz w:val="20"/>
          <w:u w:val="single"/>
        </w:rPr>
        <w:t>Quelles indications ?</w:t>
      </w:r>
    </w:p>
    <w:p w:rsidR="00FC3B6A" w:rsidRDefault="00FC3B6A" w:rsidP="00FC3B6A">
      <w:pPr>
        <w:pStyle w:val="NoSpacing"/>
        <w:numPr>
          <w:ilvl w:val="0"/>
          <w:numId w:val="4"/>
        </w:numPr>
        <w:rPr>
          <w:sz w:val="20"/>
        </w:rPr>
      </w:pPr>
      <w:r w:rsidRPr="00702747">
        <w:rPr>
          <w:b/>
          <w:sz w:val="20"/>
        </w:rPr>
        <w:t xml:space="preserve">Déficits </w:t>
      </w:r>
      <w:r>
        <w:rPr>
          <w:sz w:val="20"/>
        </w:rPr>
        <w:t xml:space="preserve">et </w:t>
      </w:r>
      <w:r w:rsidRPr="00702747">
        <w:rPr>
          <w:b/>
          <w:sz w:val="20"/>
        </w:rPr>
        <w:t>carences</w:t>
      </w:r>
      <w:r>
        <w:rPr>
          <w:sz w:val="20"/>
        </w:rPr>
        <w:t xml:space="preserve"> en  </w:t>
      </w:r>
      <w:r w:rsidR="00702747">
        <w:rPr>
          <w:sz w:val="20"/>
        </w:rPr>
        <w:t>n</w:t>
      </w:r>
      <w:r>
        <w:rPr>
          <w:sz w:val="20"/>
        </w:rPr>
        <w:t xml:space="preserve">utriments rares pour la population générale </w:t>
      </w:r>
    </w:p>
    <w:p w:rsidR="00FC3B6A" w:rsidRDefault="00FC3B6A" w:rsidP="00FC3B6A">
      <w:pPr>
        <w:pStyle w:val="NoSpacing"/>
        <w:numPr>
          <w:ilvl w:val="0"/>
          <w:numId w:val="4"/>
        </w:numPr>
        <w:rPr>
          <w:sz w:val="20"/>
        </w:rPr>
      </w:pPr>
      <w:r>
        <w:rPr>
          <w:sz w:val="20"/>
        </w:rPr>
        <w:t>Pour certaines populations (femmes enceintes, SA), des apports en vitamines, minéraux et autres nutriments par les compléments alimenta</w:t>
      </w:r>
      <w:r w:rsidR="00702747">
        <w:rPr>
          <w:sz w:val="20"/>
        </w:rPr>
        <w:t>ires peuvent présenter un intérê</w:t>
      </w:r>
      <w:r>
        <w:rPr>
          <w:sz w:val="20"/>
        </w:rPr>
        <w:t>t</w:t>
      </w:r>
    </w:p>
    <w:p w:rsidR="00FC3B6A" w:rsidRPr="00702747" w:rsidRDefault="00702747" w:rsidP="00FC3B6A">
      <w:pPr>
        <w:pStyle w:val="NoSpacing"/>
        <w:numPr>
          <w:ilvl w:val="0"/>
          <w:numId w:val="4"/>
        </w:numPr>
        <w:rPr>
          <w:sz w:val="20"/>
          <w:u w:val="single"/>
        </w:rPr>
      </w:pPr>
      <w:r>
        <w:rPr>
          <w:sz w:val="20"/>
          <w:u w:val="single"/>
        </w:rPr>
        <w:t>Si TTT médicamenteux </w:t>
      </w:r>
      <w:r>
        <w:rPr>
          <w:sz w:val="20"/>
        </w:rPr>
        <w:t>: consulter son médecin ou son pharmacien avant de prendre un complément alimentaire</w:t>
      </w:r>
    </w:p>
    <w:p w:rsidR="00FC3B6A" w:rsidRDefault="00FC3B6A" w:rsidP="00FC3B6A">
      <w:pPr>
        <w:pStyle w:val="NoSpacing"/>
        <w:rPr>
          <w:sz w:val="20"/>
        </w:rPr>
      </w:pPr>
    </w:p>
    <w:p w:rsidR="00FC3B6A" w:rsidRPr="00702747" w:rsidRDefault="00FC3B6A" w:rsidP="00FC3B6A">
      <w:pPr>
        <w:pStyle w:val="NoSpacing"/>
        <w:rPr>
          <w:b/>
          <w:sz w:val="20"/>
          <w:u w:val="single"/>
        </w:rPr>
      </w:pPr>
      <w:r w:rsidRPr="00702747">
        <w:rPr>
          <w:b/>
          <w:sz w:val="20"/>
          <w:u w:val="single"/>
        </w:rPr>
        <w:t xml:space="preserve">Mention sur les étiquettes des compléments alimentaires </w:t>
      </w:r>
    </w:p>
    <w:p w:rsidR="00FC3B6A" w:rsidRDefault="00FC3B6A" w:rsidP="00FC3B6A">
      <w:pPr>
        <w:pStyle w:val="NoSpacing"/>
        <w:numPr>
          <w:ilvl w:val="0"/>
          <w:numId w:val="4"/>
        </w:numPr>
        <w:rPr>
          <w:sz w:val="20"/>
        </w:rPr>
      </w:pPr>
      <w:r>
        <w:rPr>
          <w:sz w:val="20"/>
        </w:rPr>
        <w:t>Indications obligatoires sur l’étiquetage des compléments alimentaires</w:t>
      </w:r>
    </w:p>
    <w:p w:rsidR="00FC3B6A" w:rsidRDefault="00FC3B6A" w:rsidP="00FC3B6A">
      <w:pPr>
        <w:pStyle w:val="NoSpacing"/>
        <w:numPr>
          <w:ilvl w:val="0"/>
          <w:numId w:val="4"/>
        </w:numPr>
        <w:rPr>
          <w:sz w:val="20"/>
        </w:rPr>
      </w:pPr>
      <w:r>
        <w:rPr>
          <w:sz w:val="20"/>
        </w:rPr>
        <w:t xml:space="preserve">Nom des catégories de nutriments ou substances caractérisant le produit </w:t>
      </w:r>
    </w:p>
    <w:p w:rsidR="00FC3B6A" w:rsidRDefault="00FC3B6A" w:rsidP="00FC3B6A">
      <w:pPr>
        <w:pStyle w:val="NoSpacing"/>
        <w:numPr>
          <w:ilvl w:val="0"/>
          <w:numId w:val="4"/>
        </w:numPr>
        <w:rPr>
          <w:sz w:val="20"/>
        </w:rPr>
      </w:pPr>
      <w:r>
        <w:rPr>
          <w:sz w:val="20"/>
        </w:rPr>
        <w:t>Portion journalière recommandée</w:t>
      </w:r>
    </w:p>
    <w:p w:rsidR="00702747" w:rsidRPr="00702747" w:rsidRDefault="00FC3B6A" w:rsidP="00702747">
      <w:pPr>
        <w:pStyle w:val="NoSpacing"/>
        <w:numPr>
          <w:ilvl w:val="0"/>
          <w:numId w:val="4"/>
        </w:numPr>
        <w:rPr>
          <w:sz w:val="20"/>
        </w:rPr>
      </w:pPr>
      <w:r>
        <w:rPr>
          <w:sz w:val="20"/>
        </w:rPr>
        <w:t xml:space="preserve">Avertissement </w:t>
      </w:r>
      <w:r w:rsidR="00702747">
        <w:rPr>
          <w:sz w:val="20"/>
        </w:rPr>
        <w:t>contre le dépassement de la dose journalière indiquée</w:t>
      </w:r>
    </w:p>
    <w:p w:rsidR="00FC3B6A" w:rsidRDefault="00702747" w:rsidP="00FC3B6A">
      <w:pPr>
        <w:pStyle w:val="NoSpacing"/>
        <w:numPr>
          <w:ilvl w:val="0"/>
          <w:numId w:val="4"/>
        </w:numPr>
        <w:rPr>
          <w:sz w:val="20"/>
        </w:rPr>
      </w:pPr>
      <w:r>
        <w:rPr>
          <w:sz w:val="20"/>
        </w:rPr>
        <w:t>Produits tenus hors de la portée des enfants</w:t>
      </w:r>
    </w:p>
    <w:p w:rsidR="00702747" w:rsidRDefault="00702747" w:rsidP="00FC3B6A">
      <w:pPr>
        <w:pStyle w:val="NoSpacing"/>
        <w:numPr>
          <w:ilvl w:val="0"/>
          <w:numId w:val="4"/>
        </w:numPr>
        <w:rPr>
          <w:sz w:val="20"/>
        </w:rPr>
      </w:pPr>
      <w:r>
        <w:rPr>
          <w:sz w:val="20"/>
        </w:rPr>
        <w:t>Un complément alimentaire ne doit pas revendiquer la prévention ou le TTT des maladies</w:t>
      </w:r>
    </w:p>
    <w:p w:rsidR="00702747" w:rsidRPr="00702747" w:rsidRDefault="00702747" w:rsidP="00702747">
      <w:pPr>
        <w:pStyle w:val="NoSpacing"/>
        <w:numPr>
          <w:ilvl w:val="0"/>
          <w:numId w:val="4"/>
        </w:numPr>
        <w:rPr>
          <w:sz w:val="20"/>
        </w:rPr>
      </w:pPr>
      <w:r>
        <w:rPr>
          <w:sz w:val="20"/>
        </w:rPr>
        <w:t>Les étiquettes peuvent comporter des allégations de santé</w:t>
      </w:r>
    </w:p>
    <w:p w:rsidR="00FC3B6A" w:rsidRDefault="00FC3B6A" w:rsidP="00FC3B6A">
      <w:pPr>
        <w:pStyle w:val="NoSpacing"/>
        <w:rPr>
          <w:sz w:val="20"/>
        </w:rPr>
      </w:pPr>
    </w:p>
    <w:p w:rsidR="00FC3B6A" w:rsidRPr="00702747" w:rsidRDefault="00FC3B6A" w:rsidP="00FC3B6A">
      <w:pPr>
        <w:pStyle w:val="NoSpacing"/>
        <w:rPr>
          <w:b/>
          <w:sz w:val="20"/>
          <w:u w:val="single"/>
        </w:rPr>
      </w:pPr>
      <w:r w:rsidRPr="00702747">
        <w:rPr>
          <w:b/>
          <w:sz w:val="20"/>
          <w:u w:val="single"/>
        </w:rPr>
        <w:t>Allégations de santé (allégations thérapeutiques)</w:t>
      </w:r>
    </w:p>
    <w:p w:rsidR="00FC3B6A" w:rsidRDefault="00FC3B6A" w:rsidP="00FC3B6A">
      <w:pPr>
        <w:pStyle w:val="NoSpacing"/>
        <w:numPr>
          <w:ilvl w:val="0"/>
          <w:numId w:val="4"/>
        </w:numPr>
        <w:rPr>
          <w:sz w:val="20"/>
        </w:rPr>
      </w:pPr>
      <w:r>
        <w:rPr>
          <w:sz w:val="20"/>
        </w:rPr>
        <w:t xml:space="preserve">Définie comme tout message </w:t>
      </w:r>
      <w:r w:rsidR="00702747">
        <w:rPr>
          <w:sz w:val="20"/>
        </w:rPr>
        <w:t>ou représentation qui « affirme, suggère ou implique l’existence d’une relation entre d’une part, une catégorie de denrées alimentaires, une denrée alimentaire ou l’un de ses composants, et d’autre part, la santé ».</w:t>
      </w:r>
    </w:p>
    <w:p w:rsidR="00FC3B6A" w:rsidRDefault="00702747" w:rsidP="00FC3B6A">
      <w:pPr>
        <w:pStyle w:val="NoSpacing"/>
        <w:numPr>
          <w:ilvl w:val="0"/>
          <w:numId w:val="4"/>
        </w:numPr>
        <w:rPr>
          <w:sz w:val="20"/>
        </w:rPr>
      </w:pPr>
      <w:r>
        <w:rPr>
          <w:sz w:val="20"/>
        </w:rPr>
        <w:t>Mention sur l’étiquette</w:t>
      </w:r>
    </w:p>
    <w:p w:rsidR="00702747" w:rsidRDefault="00702747" w:rsidP="00FC3B6A">
      <w:pPr>
        <w:pStyle w:val="NoSpacing"/>
        <w:numPr>
          <w:ilvl w:val="0"/>
          <w:numId w:val="4"/>
        </w:numPr>
        <w:rPr>
          <w:sz w:val="20"/>
        </w:rPr>
      </w:pPr>
      <w:r>
        <w:rPr>
          <w:sz w:val="20"/>
        </w:rPr>
        <w:t>Des bienfaits pour la santé</w:t>
      </w:r>
    </w:p>
    <w:p w:rsidR="00702747" w:rsidRDefault="00702747" w:rsidP="00FC3B6A">
      <w:pPr>
        <w:pStyle w:val="NoSpacing"/>
        <w:numPr>
          <w:ilvl w:val="0"/>
          <w:numId w:val="4"/>
        </w:numPr>
        <w:rPr>
          <w:sz w:val="20"/>
        </w:rPr>
      </w:pPr>
      <w:r>
        <w:rPr>
          <w:sz w:val="20"/>
        </w:rPr>
        <w:t>Seules les allégations autorisées peuvent être mentionnées</w:t>
      </w:r>
    </w:p>
    <w:p w:rsidR="00FC3B6A" w:rsidRDefault="00FC3B6A" w:rsidP="00FC3B6A">
      <w:pPr>
        <w:pStyle w:val="NoSpacing"/>
        <w:rPr>
          <w:sz w:val="20"/>
        </w:rPr>
      </w:pPr>
    </w:p>
    <w:p w:rsidR="00FC3B6A" w:rsidRPr="00702747" w:rsidRDefault="00FC3B6A" w:rsidP="00FC3B6A">
      <w:pPr>
        <w:pStyle w:val="NoSpacing"/>
        <w:rPr>
          <w:b/>
          <w:sz w:val="20"/>
          <w:u w:val="single"/>
        </w:rPr>
      </w:pPr>
      <w:r w:rsidRPr="00702747">
        <w:rPr>
          <w:b/>
          <w:sz w:val="20"/>
          <w:u w:val="single"/>
        </w:rPr>
        <w:lastRenderedPageBreak/>
        <w:t>Risques des co</w:t>
      </w:r>
      <w:r w:rsidR="00817C67" w:rsidRPr="00702747">
        <w:rPr>
          <w:b/>
          <w:sz w:val="20"/>
          <w:u w:val="single"/>
        </w:rPr>
        <w:t>m</w:t>
      </w:r>
      <w:r w:rsidRPr="00702747">
        <w:rPr>
          <w:b/>
          <w:sz w:val="20"/>
          <w:u w:val="single"/>
        </w:rPr>
        <w:t xml:space="preserve">pléments alimentaires ? </w:t>
      </w:r>
    </w:p>
    <w:p w:rsidR="00FC3B6A" w:rsidRDefault="00FC3B6A" w:rsidP="00FC3B6A">
      <w:pPr>
        <w:pStyle w:val="NoSpacing"/>
        <w:numPr>
          <w:ilvl w:val="0"/>
          <w:numId w:val="5"/>
        </w:numPr>
        <w:rPr>
          <w:sz w:val="20"/>
        </w:rPr>
      </w:pPr>
      <w:r>
        <w:rPr>
          <w:sz w:val="20"/>
        </w:rPr>
        <w:t xml:space="preserve">Obligations de sécurité, de loyauté et d’information édictées par la réglementation </w:t>
      </w:r>
    </w:p>
    <w:p w:rsidR="00FC3B6A" w:rsidRDefault="00FC3B6A" w:rsidP="00FC3B6A">
      <w:pPr>
        <w:pStyle w:val="NoSpacing"/>
        <w:numPr>
          <w:ilvl w:val="0"/>
          <w:numId w:val="5"/>
        </w:numPr>
        <w:rPr>
          <w:sz w:val="20"/>
        </w:rPr>
      </w:pPr>
      <w:r>
        <w:rPr>
          <w:sz w:val="20"/>
        </w:rPr>
        <w:t>Doivent être sans danger et porter un</w:t>
      </w:r>
      <w:r w:rsidR="00702747">
        <w:rPr>
          <w:sz w:val="20"/>
        </w:rPr>
        <w:t xml:space="preserve"> étiquetage adéquat et appropri</w:t>
      </w:r>
      <w:r>
        <w:rPr>
          <w:sz w:val="20"/>
        </w:rPr>
        <w:t>é</w:t>
      </w:r>
      <w:r w:rsidR="00702747">
        <w:rPr>
          <w:sz w:val="20"/>
        </w:rPr>
        <w:t xml:space="preserve"> afin de garantir un niveau élevé de protextion des consommateurs</w:t>
      </w:r>
    </w:p>
    <w:p w:rsidR="00702747" w:rsidRDefault="00702747" w:rsidP="00FC3B6A">
      <w:pPr>
        <w:pStyle w:val="NoSpacing"/>
        <w:numPr>
          <w:ilvl w:val="0"/>
          <w:numId w:val="5"/>
        </w:numPr>
        <w:rPr>
          <w:sz w:val="20"/>
        </w:rPr>
      </w:pPr>
      <w:r>
        <w:rPr>
          <w:sz w:val="20"/>
        </w:rPr>
        <w:t>Vitamines</w:t>
      </w:r>
      <w:r w:rsidR="00FD10B0">
        <w:rPr>
          <w:sz w:val="20"/>
        </w:rPr>
        <w:t xml:space="preserve"> et minéraux</w:t>
      </w:r>
      <w:r>
        <w:rPr>
          <w:sz w:val="20"/>
        </w:rPr>
        <w:t xml:space="preserve"> à des concentrations limitées par la réglementation</w:t>
      </w:r>
    </w:p>
    <w:p w:rsidR="00702747" w:rsidRDefault="00702747" w:rsidP="00FC3B6A">
      <w:pPr>
        <w:pStyle w:val="NoSpacing"/>
        <w:numPr>
          <w:ilvl w:val="0"/>
          <w:numId w:val="5"/>
        </w:numPr>
        <w:rPr>
          <w:sz w:val="20"/>
        </w:rPr>
      </w:pPr>
      <w:r>
        <w:rPr>
          <w:sz w:val="20"/>
        </w:rPr>
        <w:t>Ne sont pas soumis systématiquement à une évaluation scientifique préalable visant à garantir leur qualité. C’est le distributeur qui est responsable de la conformité de la</w:t>
      </w:r>
      <w:r w:rsidR="00FD10B0">
        <w:rPr>
          <w:sz w:val="20"/>
        </w:rPr>
        <w:t xml:space="preserve"> mise sur le marché dans le respe</w:t>
      </w:r>
      <w:r>
        <w:rPr>
          <w:sz w:val="20"/>
        </w:rPr>
        <w:t>ct des normes en vigueur</w:t>
      </w:r>
    </w:p>
    <w:p w:rsidR="00702747" w:rsidRPr="00FD10B0" w:rsidRDefault="00702747" w:rsidP="00FC3B6A">
      <w:pPr>
        <w:pStyle w:val="NoSpacing"/>
        <w:numPr>
          <w:ilvl w:val="0"/>
          <w:numId w:val="5"/>
        </w:numPr>
        <w:rPr>
          <w:b/>
          <w:sz w:val="20"/>
        </w:rPr>
      </w:pPr>
      <w:r w:rsidRPr="00FD10B0">
        <w:rPr>
          <w:b/>
          <w:sz w:val="20"/>
        </w:rPr>
        <w:t>Conséquences néfas</w:t>
      </w:r>
      <w:r w:rsidR="00FD10B0" w:rsidRPr="00FD10B0">
        <w:rPr>
          <w:b/>
          <w:sz w:val="20"/>
        </w:rPr>
        <w:t>t</w:t>
      </w:r>
      <w:r w:rsidRPr="00FD10B0">
        <w:rPr>
          <w:b/>
          <w:sz w:val="20"/>
        </w:rPr>
        <w:t xml:space="preserve">es possibles si surdosage ou surconsommation </w:t>
      </w:r>
    </w:p>
    <w:p w:rsidR="00702747" w:rsidRDefault="00702747" w:rsidP="00FC3B6A">
      <w:pPr>
        <w:pStyle w:val="NoSpacing"/>
        <w:numPr>
          <w:ilvl w:val="0"/>
          <w:numId w:val="5"/>
        </w:numPr>
        <w:rPr>
          <w:sz w:val="20"/>
        </w:rPr>
      </w:pPr>
      <w:r>
        <w:rPr>
          <w:sz w:val="20"/>
        </w:rPr>
        <w:t>La prise simultanée de deux produits, même aux doses recommandées peut provoquer un surdosage</w:t>
      </w:r>
    </w:p>
    <w:p w:rsidR="00702747" w:rsidRDefault="00702747" w:rsidP="00FC3B6A">
      <w:pPr>
        <w:pStyle w:val="NoSpacing"/>
        <w:numPr>
          <w:ilvl w:val="0"/>
          <w:numId w:val="5"/>
        </w:numPr>
        <w:rPr>
          <w:sz w:val="20"/>
        </w:rPr>
      </w:pPr>
      <w:r>
        <w:rPr>
          <w:sz w:val="20"/>
        </w:rPr>
        <w:t xml:space="preserve">Risques liés à l’achat sur </w:t>
      </w:r>
      <w:r w:rsidRPr="00702747">
        <w:rPr>
          <w:b/>
          <w:sz w:val="20"/>
        </w:rPr>
        <w:t>internet</w:t>
      </w:r>
    </w:p>
    <w:p w:rsidR="00FC3B6A" w:rsidRDefault="00FC3B6A" w:rsidP="00FC3B6A">
      <w:pPr>
        <w:pStyle w:val="NoSpacing"/>
        <w:rPr>
          <w:sz w:val="20"/>
        </w:rPr>
      </w:pPr>
    </w:p>
    <w:p w:rsidR="00FC3B6A" w:rsidRPr="00FD10B0" w:rsidRDefault="00FC3B6A" w:rsidP="00FC3B6A">
      <w:pPr>
        <w:pStyle w:val="NoSpacing"/>
        <w:rPr>
          <w:b/>
          <w:sz w:val="20"/>
          <w:u w:val="single"/>
        </w:rPr>
      </w:pPr>
      <w:r w:rsidRPr="00FD10B0">
        <w:rPr>
          <w:b/>
          <w:sz w:val="20"/>
          <w:u w:val="single"/>
        </w:rPr>
        <w:t xml:space="preserve">Comment limiter les risques éventuels ? </w:t>
      </w:r>
    </w:p>
    <w:p w:rsidR="00FC3B6A" w:rsidRDefault="00FC3B6A" w:rsidP="00FC3B6A">
      <w:pPr>
        <w:pStyle w:val="NoSpacing"/>
        <w:numPr>
          <w:ilvl w:val="0"/>
          <w:numId w:val="6"/>
        </w:numPr>
        <w:rPr>
          <w:sz w:val="20"/>
        </w:rPr>
      </w:pPr>
      <w:r>
        <w:rPr>
          <w:sz w:val="20"/>
        </w:rPr>
        <w:t>Les consommateurs, notamment ceux présentant des P*</w:t>
      </w:r>
      <w:r w:rsidR="00FD10B0">
        <w:rPr>
          <w:sz w:val="20"/>
        </w:rPr>
        <w:t xml:space="preserve"> et sous TTT médical en cours doivent questionner leur médecin traitant ou leur pharmacien sur ces risques éventuels </w:t>
      </w:r>
    </w:p>
    <w:p w:rsidR="00FD10B0" w:rsidRDefault="00FD10B0" w:rsidP="00FC3B6A">
      <w:pPr>
        <w:pStyle w:val="NoSpacing"/>
        <w:numPr>
          <w:ilvl w:val="0"/>
          <w:numId w:val="6"/>
        </w:numPr>
        <w:rPr>
          <w:sz w:val="20"/>
        </w:rPr>
      </w:pPr>
      <w:r>
        <w:rPr>
          <w:sz w:val="20"/>
        </w:rPr>
        <w:t>Pour éviter un surdosage, ne pas prendre plusieurs compléments alimentaires en même temps, respecter les doses maximales indiquées par l’étiquetage du produit et tenir compte des quantités déjà apportées par l’alimentation.</w:t>
      </w:r>
    </w:p>
    <w:p w:rsidR="00817C67" w:rsidRDefault="00817C67" w:rsidP="00817C67">
      <w:pPr>
        <w:pStyle w:val="NoSpacing"/>
        <w:rPr>
          <w:sz w:val="20"/>
        </w:rPr>
      </w:pPr>
    </w:p>
    <w:p w:rsidR="00FD10B0" w:rsidRPr="00FD10B0" w:rsidRDefault="00FD10B0" w:rsidP="00817C67">
      <w:pPr>
        <w:pStyle w:val="NoSpacing"/>
        <w:rPr>
          <w:b/>
          <w:sz w:val="20"/>
          <w:u w:val="single"/>
        </w:rPr>
      </w:pPr>
      <w:r w:rsidRPr="00FD10B0">
        <w:rPr>
          <w:b/>
          <w:sz w:val="20"/>
          <w:u w:val="single"/>
        </w:rPr>
        <w:t xml:space="preserve">Qui doit-on prévenir en cas de survenue d’EI ? </w:t>
      </w:r>
    </w:p>
    <w:p w:rsidR="00FD10B0" w:rsidRDefault="00FD10B0" w:rsidP="00FD10B0">
      <w:pPr>
        <w:pStyle w:val="NoSpacing"/>
        <w:numPr>
          <w:ilvl w:val="0"/>
          <w:numId w:val="9"/>
        </w:numPr>
        <w:rPr>
          <w:sz w:val="20"/>
        </w:rPr>
      </w:pPr>
      <w:r>
        <w:rPr>
          <w:sz w:val="20"/>
        </w:rPr>
        <w:t xml:space="preserve">Apparition de $ non habituels </w:t>
      </w:r>
    </w:p>
    <w:p w:rsidR="00FD10B0" w:rsidRDefault="00FD10B0" w:rsidP="00FD10B0">
      <w:pPr>
        <w:pStyle w:val="NoSpacing"/>
        <w:numPr>
          <w:ilvl w:val="1"/>
          <w:numId w:val="9"/>
        </w:numPr>
        <w:rPr>
          <w:sz w:val="20"/>
        </w:rPr>
      </w:pPr>
      <w:r>
        <w:rPr>
          <w:sz w:val="20"/>
        </w:rPr>
        <w:t>Savoir se poser la question d’un EI survenu suite à une prise de compléments alimentaires</w:t>
      </w:r>
    </w:p>
    <w:p w:rsidR="00FD10B0" w:rsidRDefault="00FD10B0" w:rsidP="00FD10B0">
      <w:pPr>
        <w:pStyle w:val="NoSpacing"/>
        <w:numPr>
          <w:ilvl w:val="0"/>
          <w:numId w:val="9"/>
        </w:numPr>
        <w:rPr>
          <w:sz w:val="20"/>
        </w:rPr>
      </w:pPr>
      <w:r>
        <w:rPr>
          <w:sz w:val="20"/>
        </w:rPr>
        <w:t>En informer tout professionnel de santé</w:t>
      </w:r>
    </w:p>
    <w:p w:rsidR="00FD10B0" w:rsidRDefault="00FD10B0" w:rsidP="00FD10B0">
      <w:pPr>
        <w:pStyle w:val="NoSpacing"/>
        <w:numPr>
          <w:ilvl w:val="1"/>
          <w:numId w:val="9"/>
        </w:numPr>
        <w:rPr>
          <w:sz w:val="20"/>
        </w:rPr>
      </w:pPr>
      <w:r>
        <w:rPr>
          <w:sz w:val="20"/>
        </w:rPr>
        <w:t>Médecin traitant</w:t>
      </w:r>
    </w:p>
    <w:p w:rsidR="00FD10B0" w:rsidRDefault="00FD10B0" w:rsidP="00FD10B0">
      <w:pPr>
        <w:pStyle w:val="NoSpacing"/>
        <w:numPr>
          <w:ilvl w:val="1"/>
          <w:numId w:val="9"/>
        </w:numPr>
        <w:rPr>
          <w:sz w:val="20"/>
        </w:rPr>
      </w:pPr>
      <w:r>
        <w:rPr>
          <w:sz w:val="20"/>
        </w:rPr>
        <w:t>Pharmacien</w:t>
      </w:r>
    </w:p>
    <w:p w:rsidR="00FD10B0" w:rsidRDefault="00FD10B0" w:rsidP="00FD10B0">
      <w:pPr>
        <w:pStyle w:val="NoSpacing"/>
        <w:numPr>
          <w:ilvl w:val="0"/>
          <w:numId w:val="9"/>
        </w:numPr>
        <w:rPr>
          <w:sz w:val="20"/>
        </w:rPr>
      </w:pPr>
      <w:r>
        <w:rPr>
          <w:sz w:val="20"/>
        </w:rPr>
        <w:t>Le cas échéant, déclarer les EI à l’agence nationale de sécurité sanitaire de l’alimentation, de l’environnement et du travail (ANSES).</w:t>
      </w:r>
    </w:p>
    <w:p w:rsidR="00FD10B0" w:rsidRDefault="00FD10B0" w:rsidP="00FD10B0">
      <w:pPr>
        <w:pStyle w:val="NoSpacing"/>
        <w:ind w:left="720"/>
        <w:rPr>
          <w:sz w:val="20"/>
        </w:rPr>
      </w:pPr>
    </w:p>
    <w:p w:rsidR="00817C67" w:rsidRPr="00FD10B0" w:rsidRDefault="00817C67" w:rsidP="00817C67">
      <w:pPr>
        <w:pStyle w:val="NoSpacing"/>
        <w:rPr>
          <w:b/>
          <w:sz w:val="20"/>
          <w:u w:val="single"/>
        </w:rPr>
      </w:pPr>
      <w:r w:rsidRPr="00FD10B0">
        <w:rPr>
          <w:b/>
          <w:sz w:val="20"/>
          <w:u w:val="single"/>
        </w:rPr>
        <w:t xml:space="preserve">Système de surveillance pour le signalement des EI liés à la consommation de compléments alimentaires ? </w:t>
      </w:r>
    </w:p>
    <w:p w:rsidR="00817C67" w:rsidRDefault="00FD10B0" w:rsidP="00FD10B0">
      <w:pPr>
        <w:pStyle w:val="NoSpacing"/>
        <w:numPr>
          <w:ilvl w:val="0"/>
          <w:numId w:val="10"/>
        </w:numPr>
        <w:rPr>
          <w:sz w:val="20"/>
        </w:rPr>
      </w:pPr>
      <w:r>
        <w:rPr>
          <w:sz w:val="20"/>
        </w:rPr>
        <w:t>Système national dénommé « nutrivigilance » mis en place et confié à l’ANSES, par la loi Hôpital, Patients, Santé et Territoires (loi HPST) de juillet 2009</w:t>
      </w:r>
    </w:p>
    <w:p w:rsidR="00FD10B0" w:rsidRDefault="00FD10B0" w:rsidP="00FD10B0">
      <w:pPr>
        <w:pStyle w:val="NoSpacing"/>
        <w:numPr>
          <w:ilvl w:val="0"/>
          <w:numId w:val="10"/>
        </w:numPr>
        <w:rPr>
          <w:sz w:val="20"/>
        </w:rPr>
      </w:pPr>
      <w:r>
        <w:rPr>
          <w:sz w:val="20"/>
        </w:rPr>
        <w:t>La déclaration permet d’identifier ces effets et d’améliorer la sécurité du consommateur.</w:t>
      </w:r>
    </w:p>
    <w:p w:rsidR="00817C67" w:rsidRDefault="00817C67" w:rsidP="00817C67">
      <w:pPr>
        <w:pStyle w:val="NoSpacing"/>
        <w:rPr>
          <w:sz w:val="20"/>
        </w:rPr>
      </w:pPr>
    </w:p>
    <w:p w:rsidR="00817C67" w:rsidRPr="00FD10B0" w:rsidRDefault="00817C67" w:rsidP="00817C67">
      <w:pPr>
        <w:pStyle w:val="NoSpacing"/>
        <w:rPr>
          <w:b/>
          <w:sz w:val="20"/>
          <w:u w:val="single"/>
        </w:rPr>
      </w:pPr>
      <w:r w:rsidRPr="00FD10B0">
        <w:rPr>
          <w:b/>
          <w:sz w:val="20"/>
          <w:u w:val="single"/>
        </w:rPr>
        <w:t>Autre étude négative pour la prévention CV par les oméga3</w:t>
      </w:r>
    </w:p>
    <w:p w:rsidR="00817C67" w:rsidRDefault="00817C67" w:rsidP="00817C67">
      <w:pPr>
        <w:pStyle w:val="NoSpacing"/>
        <w:numPr>
          <w:ilvl w:val="0"/>
          <w:numId w:val="6"/>
        </w:numPr>
        <w:rPr>
          <w:sz w:val="20"/>
        </w:rPr>
      </w:pPr>
      <w:r>
        <w:rPr>
          <w:sz w:val="20"/>
        </w:rPr>
        <w:t xml:space="preserve">Etude </w:t>
      </w:r>
      <w:r w:rsidR="00FD10B0">
        <w:rPr>
          <w:sz w:val="20"/>
        </w:rPr>
        <w:t>ORIGIN randomisée prospective chez des diabétiques peu sévères ou pré-diabétiques</w:t>
      </w:r>
    </w:p>
    <w:p w:rsidR="00FD10B0" w:rsidRDefault="00FD10B0" w:rsidP="00817C67">
      <w:pPr>
        <w:pStyle w:val="NoSpacing"/>
        <w:numPr>
          <w:ilvl w:val="0"/>
          <w:numId w:val="6"/>
        </w:numPr>
        <w:rPr>
          <w:sz w:val="20"/>
        </w:rPr>
      </w:pPr>
      <w:r>
        <w:rPr>
          <w:sz w:val="20"/>
        </w:rPr>
        <w:t>12 536 patients dont la moitié ayant présent un infarctus ou un AVC, les autres avec un risque CV élevé : pas de modification de la survie</w:t>
      </w:r>
    </w:p>
    <w:p w:rsidR="00FD10B0" w:rsidRDefault="00FD10B0" w:rsidP="00817C67">
      <w:pPr>
        <w:pStyle w:val="NoSpacing"/>
        <w:numPr>
          <w:ilvl w:val="0"/>
          <w:numId w:val="6"/>
        </w:numPr>
        <w:rPr>
          <w:sz w:val="20"/>
        </w:rPr>
      </w:pPr>
      <w:r>
        <w:rPr>
          <w:sz w:val="20"/>
        </w:rPr>
        <w:t>Méta-analyse récente (2013) négative</w:t>
      </w:r>
    </w:p>
    <w:p w:rsidR="0025716B" w:rsidRDefault="0025716B" w:rsidP="0025716B">
      <w:pPr>
        <w:pStyle w:val="NoSpacing"/>
        <w:rPr>
          <w:sz w:val="20"/>
        </w:rPr>
      </w:pPr>
    </w:p>
    <w:p w:rsidR="0025716B" w:rsidRDefault="0025716B" w:rsidP="0025716B">
      <w:pPr>
        <w:pStyle w:val="NoSpacing"/>
        <w:rPr>
          <w:sz w:val="20"/>
        </w:rPr>
      </w:pPr>
    </w:p>
    <w:p w:rsidR="0025716B" w:rsidRDefault="0025716B" w:rsidP="0025716B">
      <w:pPr>
        <w:pStyle w:val="NoSpacing"/>
        <w:rPr>
          <w:sz w:val="20"/>
        </w:rPr>
      </w:pPr>
    </w:p>
    <w:p w:rsidR="0025716B" w:rsidRPr="0025716B" w:rsidRDefault="0025716B" w:rsidP="00FD10B0">
      <w:pPr>
        <w:pStyle w:val="NoSpacing"/>
        <w:pageBreakBefore/>
        <w:tabs>
          <w:tab w:val="left" w:pos="5820"/>
        </w:tabs>
        <w:rPr>
          <w:b/>
          <w:color w:val="C00000"/>
          <w:sz w:val="20"/>
        </w:rPr>
      </w:pPr>
      <w:r w:rsidRPr="0025716B">
        <w:rPr>
          <w:b/>
          <w:color w:val="C00000"/>
          <w:sz w:val="40"/>
        </w:rPr>
        <w:lastRenderedPageBreak/>
        <w:t>Obésité, une place pour la prise en charge médicamenteuse ?</w:t>
      </w:r>
      <w:r w:rsidRPr="0025716B">
        <w:rPr>
          <w:b/>
          <w:color w:val="C00000"/>
          <w:sz w:val="40"/>
        </w:rPr>
        <w:tab/>
      </w:r>
    </w:p>
    <w:p w:rsidR="0025716B" w:rsidRDefault="0025716B" w:rsidP="0025716B">
      <w:pPr>
        <w:pStyle w:val="NoSpacing"/>
        <w:tabs>
          <w:tab w:val="left" w:pos="5820"/>
        </w:tabs>
        <w:rPr>
          <w:sz w:val="20"/>
        </w:rPr>
      </w:pPr>
    </w:p>
    <w:p w:rsidR="0025716B" w:rsidRPr="00FD10B0" w:rsidRDefault="0025716B" w:rsidP="00FD10B0">
      <w:pPr>
        <w:pStyle w:val="NoSpacing"/>
        <w:numPr>
          <w:ilvl w:val="0"/>
          <w:numId w:val="11"/>
        </w:numPr>
        <w:tabs>
          <w:tab w:val="left" w:pos="5820"/>
        </w:tabs>
        <w:rPr>
          <w:b/>
          <w:color w:val="C00000"/>
        </w:rPr>
      </w:pPr>
      <w:r w:rsidRPr="00FD10B0">
        <w:rPr>
          <w:b/>
          <w:color w:val="C00000"/>
        </w:rPr>
        <w:t>Médicaments retirés</w:t>
      </w:r>
    </w:p>
    <w:p w:rsidR="0025716B" w:rsidRPr="00FD10B0" w:rsidRDefault="0025716B" w:rsidP="0025716B">
      <w:pPr>
        <w:pStyle w:val="NoSpacing"/>
        <w:numPr>
          <w:ilvl w:val="0"/>
          <w:numId w:val="6"/>
        </w:numPr>
        <w:tabs>
          <w:tab w:val="left" w:pos="5820"/>
        </w:tabs>
        <w:rPr>
          <w:b/>
          <w:sz w:val="20"/>
          <w:u w:val="single"/>
        </w:rPr>
      </w:pPr>
      <w:r w:rsidRPr="00FD10B0">
        <w:rPr>
          <w:b/>
          <w:sz w:val="20"/>
          <w:u w:val="single"/>
        </w:rPr>
        <w:t>Hormones thyroïdiennes</w:t>
      </w:r>
    </w:p>
    <w:p w:rsidR="0025716B" w:rsidRDefault="0025716B" w:rsidP="0025716B">
      <w:pPr>
        <w:pStyle w:val="NoSpacing"/>
        <w:numPr>
          <w:ilvl w:val="1"/>
          <w:numId w:val="6"/>
        </w:numPr>
        <w:tabs>
          <w:tab w:val="left" w:pos="5820"/>
        </w:tabs>
        <w:rPr>
          <w:sz w:val="20"/>
        </w:rPr>
      </w:pPr>
      <w:r>
        <w:rPr>
          <w:sz w:val="20"/>
        </w:rPr>
        <w:t xml:space="preserve">Poudre extraits de thyroïde modifiés ou non </w:t>
      </w:r>
    </w:p>
    <w:p w:rsidR="0025716B" w:rsidRDefault="0025716B" w:rsidP="0025716B">
      <w:pPr>
        <w:pStyle w:val="NoSpacing"/>
        <w:numPr>
          <w:ilvl w:val="1"/>
          <w:numId w:val="6"/>
        </w:numPr>
        <w:tabs>
          <w:tab w:val="left" w:pos="5820"/>
        </w:tabs>
        <w:rPr>
          <w:sz w:val="20"/>
        </w:rPr>
      </w:pPr>
      <w:r>
        <w:rPr>
          <w:sz w:val="20"/>
        </w:rPr>
        <w:t xml:space="preserve">Hormones thyroïdiennes </w:t>
      </w:r>
    </w:p>
    <w:p w:rsidR="0025716B" w:rsidRPr="00FD10B0" w:rsidRDefault="0025716B" w:rsidP="0025716B">
      <w:pPr>
        <w:pStyle w:val="NoSpacing"/>
        <w:numPr>
          <w:ilvl w:val="1"/>
          <w:numId w:val="6"/>
        </w:numPr>
        <w:tabs>
          <w:tab w:val="left" w:pos="5820"/>
        </w:tabs>
        <w:rPr>
          <w:b/>
          <w:sz w:val="20"/>
        </w:rPr>
      </w:pPr>
      <w:r w:rsidRPr="00FD10B0">
        <w:rPr>
          <w:b/>
          <w:sz w:val="20"/>
        </w:rPr>
        <w:t>Action amincissante rapide</w:t>
      </w:r>
    </w:p>
    <w:p w:rsidR="0025716B" w:rsidRDefault="00FD10B0" w:rsidP="0025716B">
      <w:pPr>
        <w:pStyle w:val="NoSpacing"/>
        <w:numPr>
          <w:ilvl w:val="2"/>
          <w:numId w:val="6"/>
        </w:numPr>
        <w:tabs>
          <w:tab w:val="left" w:pos="5820"/>
        </w:tabs>
        <w:rPr>
          <w:sz w:val="20"/>
        </w:rPr>
      </w:pPr>
      <w:r>
        <w:rPr>
          <w:sz w:val="20"/>
        </w:rPr>
        <w:t>↗</w:t>
      </w:r>
      <w:r w:rsidR="0025716B">
        <w:rPr>
          <w:sz w:val="20"/>
        </w:rPr>
        <w:t xml:space="preserve"> du métabolisme </w:t>
      </w:r>
    </w:p>
    <w:p w:rsidR="0025716B" w:rsidRDefault="00FD10B0" w:rsidP="0025716B">
      <w:pPr>
        <w:pStyle w:val="NoSpacing"/>
        <w:numPr>
          <w:ilvl w:val="2"/>
          <w:numId w:val="6"/>
        </w:numPr>
        <w:tabs>
          <w:tab w:val="left" w:pos="5820"/>
        </w:tabs>
        <w:rPr>
          <w:sz w:val="20"/>
        </w:rPr>
      </w:pPr>
      <w:r>
        <w:rPr>
          <w:sz w:val="20"/>
        </w:rPr>
        <w:t>↗</w:t>
      </w:r>
      <w:r w:rsidR="0025716B">
        <w:rPr>
          <w:sz w:val="20"/>
        </w:rPr>
        <w:t xml:space="preserve"> du catabolisme lipidique</w:t>
      </w:r>
    </w:p>
    <w:p w:rsidR="0025716B" w:rsidRDefault="0025716B" w:rsidP="0025716B">
      <w:pPr>
        <w:pStyle w:val="NoSpacing"/>
        <w:numPr>
          <w:ilvl w:val="2"/>
          <w:numId w:val="6"/>
        </w:numPr>
        <w:tabs>
          <w:tab w:val="left" w:pos="5820"/>
        </w:tabs>
        <w:rPr>
          <w:sz w:val="20"/>
        </w:rPr>
      </w:pPr>
      <w:r>
        <w:rPr>
          <w:sz w:val="20"/>
        </w:rPr>
        <w:t xml:space="preserve">↗ catabolisme protidique </w:t>
      </w:r>
    </w:p>
    <w:p w:rsidR="0025716B" w:rsidRDefault="0025716B" w:rsidP="0025716B">
      <w:pPr>
        <w:pStyle w:val="NoSpacing"/>
        <w:numPr>
          <w:ilvl w:val="2"/>
          <w:numId w:val="6"/>
        </w:numPr>
        <w:tabs>
          <w:tab w:val="left" w:pos="5820"/>
        </w:tabs>
        <w:rPr>
          <w:sz w:val="20"/>
        </w:rPr>
      </w:pPr>
      <w:r>
        <w:rPr>
          <w:sz w:val="20"/>
        </w:rPr>
        <w:t xml:space="preserve">↗ </w:t>
      </w:r>
      <w:r w:rsidR="00FD10B0">
        <w:rPr>
          <w:sz w:val="20"/>
        </w:rPr>
        <w:t xml:space="preserve">catabolisme glucidique </w:t>
      </w:r>
    </w:p>
    <w:p w:rsidR="00FD10B0" w:rsidRDefault="00FD10B0" w:rsidP="0025716B">
      <w:pPr>
        <w:pStyle w:val="NoSpacing"/>
        <w:numPr>
          <w:ilvl w:val="2"/>
          <w:numId w:val="6"/>
        </w:numPr>
        <w:tabs>
          <w:tab w:val="left" w:pos="5820"/>
        </w:tabs>
        <w:rPr>
          <w:sz w:val="20"/>
        </w:rPr>
      </w:pPr>
      <w:r>
        <w:rPr>
          <w:sz w:val="20"/>
        </w:rPr>
        <w:t xml:space="preserve">↗ absorption du glucose </w:t>
      </w:r>
    </w:p>
    <w:p w:rsidR="00FD10B0" w:rsidRDefault="00FD10B0" w:rsidP="0025716B">
      <w:pPr>
        <w:pStyle w:val="NoSpacing"/>
        <w:numPr>
          <w:ilvl w:val="2"/>
          <w:numId w:val="6"/>
        </w:numPr>
        <w:tabs>
          <w:tab w:val="left" w:pos="5820"/>
        </w:tabs>
        <w:rPr>
          <w:sz w:val="20"/>
        </w:rPr>
      </w:pPr>
      <w:r>
        <w:rPr>
          <w:sz w:val="20"/>
        </w:rPr>
        <w:t xml:space="preserve">↗ thermogenèse </w:t>
      </w:r>
    </w:p>
    <w:p w:rsidR="00FD10B0" w:rsidRDefault="00FD10B0" w:rsidP="0025716B">
      <w:pPr>
        <w:pStyle w:val="NoSpacing"/>
        <w:numPr>
          <w:ilvl w:val="2"/>
          <w:numId w:val="6"/>
        </w:numPr>
        <w:tabs>
          <w:tab w:val="left" w:pos="5820"/>
        </w:tabs>
        <w:rPr>
          <w:sz w:val="20"/>
        </w:rPr>
      </w:pPr>
      <w:r>
        <w:rPr>
          <w:sz w:val="20"/>
        </w:rPr>
        <w:t>↗ diarrhée</w:t>
      </w:r>
    </w:p>
    <w:p w:rsidR="00FD10B0" w:rsidRDefault="00FD10B0" w:rsidP="00FD10B0">
      <w:pPr>
        <w:pStyle w:val="NoSpacing"/>
        <w:numPr>
          <w:ilvl w:val="1"/>
          <w:numId w:val="6"/>
        </w:numPr>
        <w:tabs>
          <w:tab w:val="left" w:pos="5820"/>
        </w:tabs>
        <w:rPr>
          <w:sz w:val="20"/>
        </w:rPr>
      </w:pPr>
      <w:r w:rsidRPr="00FD10B0">
        <w:rPr>
          <w:b/>
          <w:sz w:val="20"/>
        </w:rPr>
        <w:t>EI</w:t>
      </w:r>
      <w:r>
        <w:rPr>
          <w:sz w:val="20"/>
        </w:rPr>
        <w:t> : création d’un état d’hyperthyroïdie</w:t>
      </w:r>
    </w:p>
    <w:p w:rsidR="00FD10B0" w:rsidRPr="00FD10B0" w:rsidRDefault="00FD10B0" w:rsidP="00FD10B0">
      <w:pPr>
        <w:pStyle w:val="NoSpacing"/>
        <w:numPr>
          <w:ilvl w:val="1"/>
          <w:numId w:val="6"/>
        </w:numPr>
        <w:tabs>
          <w:tab w:val="left" w:pos="5820"/>
        </w:tabs>
        <w:rPr>
          <w:b/>
          <w:color w:val="C00000"/>
          <w:sz w:val="20"/>
        </w:rPr>
      </w:pPr>
      <w:r w:rsidRPr="00FD10B0">
        <w:rPr>
          <w:b/>
          <w:color w:val="C00000"/>
          <w:sz w:val="20"/>
        </w:rPr>
        <w:t>INTERDICTION : B/R DEFAVORABLE</w:t>
      </w:r>
    </w:p>
    <w:p w:rsidR="00FD10B0" w:rsidRDefault="00FD10B0" w:rsidP="00FD10B0">
      <w:pPr>
        <w:pStyle w:val="NoSpacing"/>
        <w:tabs>
          <w:tab w:val="left" w:pos="5820"/>
        </w:tabs>
        <w:ind w:left="720"/>
        <w:rPr>
          <w:sz w:val="20"/>
        </w:rPr>
      </w:pPr>
    </w:p>
    <w:p w:rsidR="0025716B" w:rsidRPr="00FD10B0" w:rsidRDefault="0025716B" w:rsidP="0025716B">
      <w:pPr>
        <w:pStyle w:val="NoSpacing"/>
        <w:numPr>
          <w:ilvl w:val="0"/>
          <w:numId w:val="6"/>
        </w:numPr>
        <w:tabs>
          <w:tab w:val="left" w:pos="5820"/>
        </w:tabs>
        <w:rPr>
          <w:b/>
          <w:sz w:val="20"/>
          <w:u w:val="single"/>
        </w:rPr>
      </w:pPr>
      <w:r w:rsidRPr="00FD10B0">
        <w:rPr>
          <w:b/>
          <w:sz w:val="20"/>
          <w:u w:val="single"/>
        </w:rPr>
        <w:t>Amphétamines et ses dérivés</w:t>
      </w:r>
    </w:p>
    <w:p w:rsidR="0025716B" w:rsidRDefault="0025716B" w:rsidP="0025716B">
      <w:pPr>
        <w:pStyle w:val="NoSpacing"/>
        <w:numPr>
          <w:ilvl w:val="1"/>
          <w:numId w:val="6"/>
        </w:numPr>
        <w:tabs>
          <w:tab w:val="left" w:pos="5820"/>
        </w:tabs>
        <w:rPr>
          <w:sz w:val="20"/>
        </w:rPr>
      </w:pPr>
      <w:r w:rsidRPr="00D10F2E">
        <w:rPr>
          <w:b/>
          <w:sz w:val="20"/>
        </w:rPr>
        <w:t>Médicaments anorexigènes</w:t>
      </w:r>
      <w:r>
        <w:rPr>
          <w:sz w:val="20"/>
        </w:rPr>
        <w:t xml:space="preserve"> destinés à réduire l’app</w:t>
      </w:r>
      <w:r w:rsidR="00D10F2E">
        <w:rPr>
          <w:sz w:val="20"/>
        </w:rPr>
        <w:t>é</w:t>
      </w:r>
      <w:r>
        <w:rPr>
          <w:sz w:val="20"/>
        </w:rPr>
        <w:t xml:space="preserve">tit </w:t>
      </w:r>
    </w:p>
    <w:p w:rsidR="0025716B" w:rsidRDefault="0025716B" w:rsidP="0025716B">
      <w:pPr>
        <w:pStyle w:val="NoSpacing"/>
        <w:numPr>
          <w:ilvl w:val="2"/>
          <w:numId w:val="6"/>
        </w:numPr>
        <w:tabs>
          <w:tab w:val="left" w:pos="5820"/>
        </w:tabs>
        <w:rPr>
          <w:sz w:val="20"/>
        </w:rPr>
      </w:pPr>
      <w:r>
        <w:rPr>
          <w:sz w:val="20"/>
        </w:rPr>
        <w:t xml:space="preserve">Soit en retardant la sensation de faim </w:t>
      </w:r>
    </w:p>
    <w:p w:rsidR="0025716B" w:rsidRDefault="0025716B" w:rsidP="0025716B">
      <w:pPr>
        <w:pStyle w:val="NoSpacing"/>
        <w:numPr>
          <w:ilvl w:val="2"/>
          <w:numId w:val="6"/>
        </w:numPr>
        <w:tabs>
          <w:tab w:val="left" w:pos="5820"/>
        </w:tabs>
        <w:rPr>
          <w:sz w:val="20"/>
        </w:rPr>
      </w:pPr>
      <w:r>
        <w:rPr>
          <w:sz w:val="20"/>
        </w:rPr>
        <w:t>Soit en accélérant la satiété</w:t>
      </w:r>
    </w:p>
    <w:p w:rsidR="0025716B" w:rsidRDefault="0025716B" w:rsidP="0025716B">
      <w:pPr>
        <w:pStyle w:val="NoSpacing"/>
        <w:numPr>
          <w:ilvl w:val="1"/>
          <w:numId w:val="6"/>
        </w:numPr>
        <w:tabs>
          <w:tab w:val="left" w:pos="5820"/>
        </w:tabs>
        <w:rPr>
          <w:sz w:val="20"/>
        </w:rPr>
      </w:pPr>
      <w:r w:rsidRPr="00D10F2E">
        <w:rPr>
          <w:b/>
          <w:sz w:val="20"/>
        </w:rPr>
        <w:t>Amphétamines</w:t>
      </w:r>
      <w:r>
        <w:rPr>
          <w:sz w:val="20"/>
        </w:rPr>
        <w:t> : anorexigènes centraux agissant directement sur les structures nerveuses centrales régulant le comportement alimentaire</w:t>
      </w:r>
    </w:p>
    <w:p w:rsidR="0025716B" w:rsidRDefault="0025716B" w:rsidP="0025716B">
      <w:pPr>
        <w:pStyle w:val="NoSpacing"/>
        <w:numPr>
          <w:ilvl w:val="1"/>
          <w:numId w:val="6"/>
        </w:numPr>
        <w:tabs>
          <w:tab w:val="left" w:pos="5820"/>
        </w:tabs>
        <w:rPr>
          <w:sz w:val="20"/>
        </w:rPr>
      </w:pPr>
      <w:r w:rsidRPr="00D10F2E">
        <w:rPr>
          <w:b/>
          <w:sz w:val="20"/>
        </w:rPr>
        <w:t>Fenfluraminiques</w:t>
      </w:r>
      <w:r>
        <w:rPr>
          <w:sz w:val="20"/>
        </w:rPr>
        <w:t> : modifications structurales de l’amphétami</w:t>
      </w:r>
      <w:r w:rsidR="00D10F2E">
        <w:rPr>
          <w:sz w:val="20"/>
        </w:rPr>
        <w:t>ne, permettant de conserver l’effet anorexigène tout en limitant les effets secondaires sur le SNC</w:t>
      </w:r>
    </w:p>
    <w:p w:rsidR="00D10F2E" w:rsidRDefault="00D10F2E" w:rsidP="00D10F2E">
      <w:pPr>
        <w:pStyle w:val="NoSpacing"/>
        <w:tabs>
          <w:tab w:val="left" w:pos="5820"/>
        </w:tabs>
        <w:ind w:left="1440"/>
        <w:rPr>
          <w:sz w:val="20"/>
        </w:rPr>
      </w:pPr>
    </w:p>
    <w:p w:rsidR="005047FE" w:rsidRPr="00D10F2E" w:rsidRDefault="005047FE" w:rsidP="0025716B">
      <w:pPr>
        <w:pStyle w:val="NoSpacing"/>
        <w:numPr>
          <w:ilvl w:val="1"/>
          <w:numId w:val="6"/>
        </w:numPr>
        <w:tabs>
          <w:tab w:val="left" w:pos="5820"/>
        </w:tabs>
        <w:rPr>
          <w:b/>
          <w:color w:val="E36C0A" w:themeColor="accent6" w:themeShade="BF"/>
          <w:sz w:val="20"/>
        </w:rPr>
      </w:pPr>
      <w:r w:rsidRPr="00D10F2E">
        <w:rPr>
          <w:b/>
          <w:color w:val="E36C0A" w:themeColor="accent6" w:themeShade="BF"/>
          <w:sz w:val="20"/>
        </w:rPr>
        <w:t>ISOMERIDE (dexfenfluramine), PONDERAL (fenfluramine)</w:t>
      </w:r>
    </w:p>
    <w:p w:rsidR="005047FE" w:rsidRDefault="005047FE" w:rsidP="005047FE">
      <w:pPr>
        <w:pStyle w:val="NoSpacing"/>
        <w:numPr>
          <w:ilvl w:val="2"/>
          <w:numId w:val="6"/>
        </w:numPr>
        <w:tabs>
          <w:tab w:val="left" w:pos="5820"/>
        </w:tabs>
        <w:rPr>
          <w:sz w:val="20"/>
        </w:rPr>
      </w:pPr>
      <w:r>
        <w:rPr>
          <w:sz w:val="20"/>
        </w:rPr>
        <w:t>P</w:t>
      </w:r>
      <w:r w:rsidR="00D10F2E">
        <w:rPr>
          <w:sz w:val="20"/>
        </w:rPr>
        <w:t>roprié</w:t>
      </w:r>
      <w:r>
        <w:rPr>
          <w:sz w:val="20"/>
        </w:rPr>
        <w:t xml:space="preserve">tés anorexigènes </w:t>
      </w:r>
    </w:p>
    <w:p w:rsidR="005047FE" w:rsidRDefault="005047FE" w:rsidP="005047FE">
      <w:pPr>
        <w:pStyle w:val="NoSpacing"/>
        <w:numPr>
          <w:ilvl w:val="2"/>
          <w:numId w:val="6"/>
        </w:numPr>
        <w:tabs>
          <w:tab w:val="left" w:pos="5820"/>
        </w:tabs>
        <w:rPr>
          <w:sz w:val="20"/>
        </w:rPr>
      </w:pPr>
      <w:r>
        <w:rPr>
          <w:sz w:val="20"/>
        </w:rPr>
        <w:t xml:space="preserve">Actions directes sur les R. sérotoninergiques </w:t>
      </w:r>
    </w:p>
    <w:p w:rsidR="005047FE" w:rsidRDefault="005047FE" w:rsidP="005047FE">
      <w:pPr>
        <w:pStyle w:val="NoSpacing"/>
        <w:numPr>
          <w:ilvl w:val="2"/>
          <w:numId w:val="6"/>
        </w:numPr>
        <w:tabs>
          <w:tab w:val="left" w:pos="5820"/>
        </w:tabs>
        <w:rPr>
          <w:sz w:val="20"/>
        </w:rPr>
      </w:pPr>
      <w:r>
        <w:rPr>
          <w:sz w:val="20"/>
        </w:rPr>
        <w:t>ValvuloP* (5HT2B)  et HTAP</w:t>
      </w:r>
    </w:p>
    <w:p w:rsidR="0025716B" w:rsidRDefault="0025716B" w:rsidP="0025716B">
      <w:pPr>
        <w:pStyle w:val="NoSpacing"/>
        <w:numPr>
          <w:ilvl w:val="2"/>
          <w:numId w:val="6"/>
        </w:numPr>
        <w:tabs>
          <w:tab w:val="left" w:pos="5820"/>
        </w:tabs>
        <w:rPr>
          <w:sz w:val="20"/>
        </w:rPr>
      </w:pPr>
      <w:r>
        <w:rPr>
          <w:sz w:val="20"/>
        </w:rPr>
        <w:t>Retiré du marché en 1997</w:t>
      </w:r>
    </w:p>
    <w:p w:rsidR="00D10F2E" w:rsidRDefault="00D10F2E" w:rsidP="0025716B">
      <w:pPr>
        <w:pStyle w:val="NoSpacing"/>
        <w:numPr>
          <w:ilvl w:val="2"/>
          <w:numId w:val="6"/>
        </w:numPr>
        <w:tabs>
          <w:tab w:val="left" w:pos="5820"/>
        </w:tabs>
        <w:rPr>
          <w:sz w:val="20"/>
        </w:rPr>
      </w:pPr>
    </w:p>
    <w:p w:rsidR="0025716B" w:rsidRDefault="0025716B" w:rsidP="005047FE">
      <w:pPr>
        <w:pStyle w:val="NoSpacing"/>
        <w:numPr>
          <w:ilvl w:val="1"/>
          <w:numId w:val="6"/>
        </w:numPr>
        <w:tabs>
          <w:tab w:val="left" w:pos="5820"/>
        </w:tabs>
        <w:rPr>
          <w:sz w:val="20"/>
        </w:rPr>
      </w:pPr>
      <w:r w:rsidRPr="00D10F2E">
        <w:rPr>
          <w:b/>
          <w:color w:val="E36C0A" w:themeColor="accent6" w:themeShade="BF"/>
          <w:sz w:val="20"/>
        </w:rPr>
        <w:t>Mediator (benfluorex</w:t>
      </w:r>
      <w:r w:rsidR="00D10F2E">
        <w:rPr>
          <w:b/>
          <w:color w:val="E36C0A" w:themeColor="accent6" w:themeShade="BF"/>
          <w:sz w:val="20"/>
        </w:rPr>
        <w:t>)</w:t>
      </w:r>
    </w:p>
    <w:p w:rsidR="0025716B" w:rsidRDefault="0025716B" w:rsidP="005047FE">
      <w:pPr>
        <w:pStyle w:val="NoSpacing"/>
        <w:numPr>
          <w:ilvl w:val="2"/>
          <w:numId w:val="6"/>
        </w:numPr>
        <w:tabs>
          <w:tab w:val="left" w:pos="5820"/>
        </w:tabs>
        <w:rPr>
          <w:sz w:val="20"/>
        </w:rPr>
      </w:pPr>
      <w:r>
        <w:rPr>
          <w:sz w:val="20"/>
        </w:rPr>
        <w:t xml:space="preserve">AMM en 1974 </w:t>
      </w:r>
    </w:p>
    <w:p w:rsidR="0025716B" w:rsidRDefault="0025716B" w:rsidP="005047FE">
      <w:pPr>
        <w:pStyle w:val="NoSpacing"/>
        <w:numPr>
          <w:ilvl w:val="2"/>
          <w:numId w:val="6"/>
        </w:numPr>
        <w:tabs>
          <w:tab w:val="left" w:pos="5820"/>
        </w:tabs>
        <w:rPr>
          <w:sz w:val="20"/>
        </w:rPr>
      </w:pPr>
      <w:r w:rsidRPr="00D10F2E">
        <w:rPr>
          <w:sz w:val="20"/>
          <w:u w:val="single"/>
        </w:rPr>
        <w:t>Indications</w:t>
      </w:r>
      <w:r>
        <w:rPr>
          <w:sz w:val="20"/>
        </w:rPr>
        <w:t xml:space="preserve"> : adjuvant du régime adapté dans les hyperTG, adjuvant du régime adapté chez les diabétiques avec surcharge pondérale </w:t>
      </w:r>
    </w:p>
    <w:p w:rsidR="0025716B" w:rsidRDefault="0025716B" w:rsidP="005047FE">
      <w:pPr>
        <w:pStyle w:val="NoSpacing"/>
        <w:numPr>
          <w:ilvl w:val="2"/>
          <w:numId w:val="6"/>
        </w:numPr>
        <w:tabs>
          <w:tab w:val="left" w:pos="5820"/>
        </w:tabs>
        <w:rPr>
          <w:sz w:val="20"/>
        </w:rPr>
      </w:pPr>
      <w:r>
        <w:rPr>
          <w:sz w:val="20"/>
        </w:rPr>
        <w:t xml:space="preserve">Valvulopathies </w:t>
      </w:r>
    </w:p>
    <w:p w:rsidR="0025716B" w:rsidRDefault="0025716B" w:rsidP="005047FE">
      <w:pPr>
        <w:pStyle w:val="NoSpacing"/>
        <w:numPr>
          <w:ilvl w:val="2"/>
          <w:numId w:val="6"/>
        </w:numPr>
        <w:tabs>
          <w:tab w:val="left" w:pos="5820"/>
        </w:tabs>
        <w:rPr>
          <w:sz w:val="20"/>
        </w:rPr>
      </w:pPr>
      <w:r>
        <w:rPr>
          <w:sz w:val="20"/>
        </w:rPr>
        <w:t>Retiré du marché en novembre 2009</w:t>
      </w:r>
    </w:p>
    <w:p w:rsidR="00D10F2E" w:rsidRDefault="00D10F2E" w:rsidP="00D10F2E">
      <w:pPr>
        <w:pStyle w:val="NoSpacing"/>
        <w:tabs>
          <w:tab w:val="left" w:pos="5820"/>
        </w:tabs>
        <w:ind w:left="2160"/>
        <w:rPr>
          <w:sz w:val="20"/>
        </w:rPr>
      </w:pPr>
    </w:p>
    <w:p w:rsidR="005047FE" w:rsidRPr="00D10F2E" w:rsidRDefault="005047FE" w:rsidP="005047FE">
      <w:pPr>
        <w:pStyle w:val="NoSpacing"/>
        <w:numPr>
          <w:ilvl w:val="0"/>
          <w:numId w:val="6"/>
        </w:numPr>
        <w:tabs>
          <w:tab w:val="left" w:pos="5820"/>
        </w:tabs>
        <w:rPr>
          <w:b/>
          <w:sz w:val="20"/>
          <w:u w:val="single"/>
        </w:rPr>
      </w:pPr>
      <w:r w:rsidRPr="00D10F2E">
        <w:rPr>
          <w:b/>
          <w:sz w:val="20"/>
          <w:u w:val="single"/>
        </w:rPr>
        <w:t>ACOMPLIA (rimonabant)</w:t>
      </w:r>
    </w:p>
    <w:p w:rsidR="005047FE" w:rsidRDefault="005047FE" w:rsidP="005047FE">
      <w:pPr>
        <w:pStyle w:val="NoSpacing"/>
        <w:numPr>
          <w:ilvl w:val="1"/>
          <w:numId w:val="6"/>
        </w:numPr>
        <w:tabs>
          <w:tab w:val="left" w:pos="5820"/>
        </w:tabs>
        <w:rPr>
          <w:sz w:val="20"/>
        </w:rPr>
      </w:pPr>
      <w:r>
        <w:rPr>
          <w:sz w:val="20"/>
        </w:rPr>
        <w:t xml:space="preserve">Antagoniste des R. cannabinoïdes CB1 </w:t>
      </w:r>
    </w:p>
    <w:p w:rsidR="005047FE" w:rsidRDefault="005047FE" w:rsidP="005047FE">
      <w:pPr>
        <w:pStyle w:val="NoSpacing"/>
        <w:numPr>
          <w:ilvl w:val="1"/>
          <w:numId w:val="6"/>
        </w:numPr>
        <w:tabs>
          <w:tab w:val="left" w:pos="5820"/>
        </w:tabs>
        <w:rPr>
          <w:sz w:val="20"/>
        </w:rPr>
      </w:pPr>
      <w:r>
        <w:rPr>
          <w:sz w:val="20"/>
        </w:rPr>
        <w:t>↘métabolisme lipidique et glucidique</w:t>
      </w:r>
    </w:p>
    <w:p w:rsidR="0025716B" w:rsidRPr="005047FE" w:rsidRDefault="005047FE" w:rsidP="005047FE">
      <w:pPr>
        <w:pStyle w:val="NoSpacing"/>
        <w:numPr>
          <w:ilvl w:val="1"/>
          <w:numId w:val="6"/>
        </w:numPr>
        <w:tabs>
          <w:tab w:val="left" w:pos="5820"/>
        </w:tabs>
        <w:rPr>
          <w:sz w:val="20"/>
        </w:rPr>
      </w:pPr>
      <w:r>
        <w:rPr>
          <w:sz w:val="20"/>
        </w:rPr>
        <w:t>↘</w:t>
      </w:r>
      <w:r w:rsidR="00D10F2E">
        <w:rPr>
          <w:sz w:val="20"/>
        </w:rPr>
        <w:t xml:space="preserve"> Prise aliment</w:t>
      </w:r>
      <w:r w:rsidRPr="005047FE">
        <w:rPr>
          <w:sz w:val="20"/>
        </w:rPr>
        <w:t>aire</w:t>
      </w:r>
    </w:p>
    <w:p w:rsidR="005047FE" w:rsidRDefault="005047FE" w:rsidP="005047FE">
      <w:pPr>
        <w:pStyle w:val="NoSpacing"/>
        <w:numPr>
          <w:ilvl w:val="1"/>
          <w:numId w:val="6"/>
        </w:numPr>
        <w:tabs>
          <w:tab w:val="left" w:pos="5820"/>
        </w:tabs>
        <w:rPr>
          <w:sz w:val="20"/>
        </w:rPr>
      </w:pPr>
      <w:r>
        <w:rPr>
          <w:sz w:val="20"/>
        </w:rPr>
        <w:t xml:space="preserve">↘ tour de taille </w:t>
      </w:r>
    </w:p>
    <w:p w:rsidR="005047FE" w:rsidRDefault="005047FE" w:rsidP="005047FE">
      <w:pPr>
        <w:pStyle w:val="NoSpacing"/>
        <w:numPr>
          <w:ilvl w:val="1"/>
          <w:numId w:val="6"/>
        </w:numPr>
        <w:tabs>
          <w:tab w:val="left" w:pos="5820"/>
        </w:tabs>
        <w:rPr>
          <w:sz w:val="20"/>
        </w:rPr>
      </w:pPr>
      <w:r>
        <w:rPr>
          <w:sz w:val="20"/>
        </w:rPr>
        <w:t xml:space="preserve">Troubles psychologiques majeurs </w:t>
      </w:r>
    </w:p>
    <w:p w:rsidR="005047FE" w:rsidRPr="00D10F2E" w:rsidRDefault="005047FE" w:rsidP="005047FE">
      <w:pPr>
        <w:pStyle w:val="NoSpacing"/>
        <w:numPr>
          <w:ilvl w:val="1"/>
          <w:numId w:val="6"/>
        </w:numPr>
        <w:tabs>
          <w:tab w:val="left" w:pos="5820"/>
        </w:tabs>
        <w:rPr>
          <w:b/>
          <w:sz w:val="20"/>
        </w:rPr>
      </w:pPr>
      <w:r w:rsidRPr="00D10F2E">
        <w:rPr>
          <w:b/>
          <w:sz w:val="20"/>
        </w:rPr>
        <w:t xml:space="preserve">Suicides </w:t>
      </w:r>
    </w:p>
    <w:p w:rsidR="005047FE" w:rsidRDefault="005047FE" w:rsidP="005047FE">
      <w:pPr>
        <w:pStyle w:val="NoSpacing"/>
        <w:numPr>
          <w:ilvl w:val="1"/>
          <w:numId w:val="6"/>
        </w:numPr>
        <w:tabs>
          <w:tab w:val="left" w:pos="5820"/>
        </w:tabs>
        <w:rPr>
          <w:sz w:val="20"/>
        </w:rPr>
      </w:pPr>
      <w:r>
        <w:rPr>
          <w:sz w:val="20"/>
        </w:rPr>
        <w:t>Retiré du marché par EMA en janvier 2009</w:t>
      </w:r>
    </w:p>
    <w:p w:rsidR="00D10F2E" w:rsidRDefault="00D10F2E" w:rsidP="00D10F2E">
      <w:pPr>
        <w:pStyle w:val="NoSpacing"/>
        <w:tabs>
          <w:tab w:val="left" w:pos="5820"/>
        </w:tabs>
        <w:ind w:left="1440"/>
        <w:rPr>
          <w:sz w:val="20"/>
        </w:rPr>
      </w:pPr>
    </w:p>
    <w:p w:rsidR="005047FE" w:rsidRPr="00D10F2E" w:rsidRDefault="00CC4A51" w:rsidP="00CC4A51">
      <w:pPr>
        <w:pStyle w:val="NoSpacing"/>
        <w:numPr>
          <w:ilvl w:val="0"/>
          <w:numId w:val="6"/>
        </w:numPr>
        <w:tabs>
          <w:tab w:val="left" w:pos="5820"/>
        </w:tabs>
        <w:rPr>
          <w:b/>
          <w:sz w:val="20"/>
          <w:u w:val="single"/>
        </w:rPr>
      </w:pPr>
      <w:r w:rsidRPr="00D10F2E">
        <w:rPr>
          <w:b/>
          <w:sz w:val="20"/>
          <w:u w:val="single"/>
        </w:rPr>
        <w:t>SIBUTRAL (sibutramine)</w:t>
      </w:r>
    </w:p>
    <w:p w:rsidR="00CC4A51" w:rsidRDefault="00CC4A51" w:rsidP="00CC4A51">
      <w:pPr>
        <w:pStyle w:val="NoSpacing"/>
        <w:numPr>
          <w:ilvl w:val="1"/>
          <w:numId w:val="6"/>
        </w:numPr>
        <w:tabs>
          <w:tab w:val="left" w:pos="5820"/>
        </w:tabs>
        <w:rPr>
          <w:sz w:val="20"/>
        </w:rPr>
      </w:pPr>
      <w:r>
        <w:rPr>
          <w:sz w:val="20"/>
        </w:rPr>
        <w:t xml:space="preserve">Inhibiteur de la recapture de la sérotonine et de la noradrénaline </w:t>
      </w:r>
    </w:p>
    <w:p w:rsidR="00CC4A51" w:rsidRDefault="00CC4A51" w:rsidP="00CC4A51">
      <w:pPr>
        <w:pStyle w:val="NoSpacing"/>
        <w:numPr>
          <w:ilvl w:val="1"/>
          <w:numId w:val="6"/>
        </w:numPr>
        <w:tabs>
          <w:tab w:val="left" w:pos="5820"/>
        </w:tabs>
        <w:rPr>
          <w:sz w:val="20"/>
        </w:rPr>
      </w:pPr>
      <w:r>
        <w:rPr>
          <w:sz w:val="20"/>
        </w:rPr>
        <w:t xml:space="preserve">↗ sensation de la satiété </w:t>
      </w:r>
    </w:p>
    <w:p w:rsidR="00D10F2E" w:rsidRPr="00D10F2E" w:rsidRDefault="00CC4A51" w:rsidP="00D10F2E">
      <w:pPr>
        <w:pStyle w:val="NoSpacing"/>
        <w:numPr>
          <w:ilvl w:val="1"/>
          <w:numId w:val="6"/>
        </w:numPr>
        <w:tabs>
          <w:tab w:val="left" w:pos="5820"/>
        </w:tabs>
        <w:rPr>
          <w:sz w:val="20"/>
        </w:rPr>
      </w:pPr>
      <w:r>
        <w:rPr>
          <w:sz w:val="20"/>
        </w:rPr>
        <w:t xml:space="preserve">TTT d’appoint dans le cadre d’un programme de contrôle pondéral </w:t>
      </w:r>
    </w:p>
    <w:p w:rsidR="00CC4A51" w:rsidRPr="00D10F2E" w:rsidRDefault="00CC4A51" w:rsidP="00CC4A51">
      <w:pPr>
        <w:pStyle w:val="NoSpacing"/>
        <w:numPr>
          <w:ilvl w:val="1"/>
          <w:numId w:val="6"/>
        </w:numPr>
        <w:tabs>
          <w:tab w:val="left" w:pos="5820"/>
        </w:tabs>
        <w:rPr>
          <w:sz w:val="20"/>
          <w:u w:val="single"/>
        </w:rPr>
      </w:pPr>
      <w:r w:rsidRPr="00D10F2E">
        <w:rPr>
          <w:sz w:val="20"/>
          <w:u w:val="single"/>
        </w:rPr>
        <w:t xml:space="preserve">Etude SCOUT </w:t>
      </w:r>
    </w:p>
    <w:p w:rsidR="00CC4A51" w:rsidRDefault="00CC4A51" w:rsidP="00CC4A51">
      <w:pPr>
        <w:pStyle w:val="NoSpacing"/>
        <w:numPr>
          <w:ilvl w:val="2"/>
          <w:numId w:val="6"/>
        </w:numPr>
        <w:tabs>
          <w:tab w:val="left" w:pos="5820"/>
        </w:tabs>
        <w:rPr>
          <w:sz w:val="20"/>
        </w:rPr>
      </w:pPr>
      <w:r>
        <w:rPr>
          <w:sz w:val="20"/>
        </w:rPr>
        <w:t xml:space="preserve">Efficacité modeste </w:t>
      </w:r>
    </w:p>
    <w:p w:rsidR="00CC4A51" w:rsidRDefault="00CC4A51" w:rsidP="00CC4A51">
      <w:pPr>
        <w:pStyle w:val="NoSpacing"/>
        <w:numPr>
          <w:ilvl w:val="2"/>
          <w:numId w:val="6"/>
        </w:numPr>
        <w:tabs>
          <w:tab w:val="left" w:pos="5820"/>
        </w:tabs>
        <w:rPr>
          <w:sz w:val="20"/>
        </w:rPr>
      </w:pPr>
      <w:r>
        <w:rPr>
          <w:sz w:val="20"/>
        </w:rPr>
        <w:t xml:space="preserve">Reprise de poids à l’arrêt du TTT </w:t>
      </w:r>
    </w:p>
    <w:p w:rsidR="00CC4A51" w:rsidRDefault="00CC4A51" w:rsidP="00CC4A51">
      <w:pPr>
        <w:pStyle w:val="NoSpacing"/>
        <w:numPr>
          <w:ilvl w:val="2"/>
          <w:numId w:val="6"/>
        </w:numPr>
        <w:tabs>
          <w:tab w:val="left" w:pos="5820"/>
        </w:tabs>
        <w:rPr>
          <w:sz w:val="20"/>
        </w:rPr>
      </w:pPr>
      <w:r>
        <w:rPr>
          <w:sz w:val="20"/>
        </w:rPr>
        <w:t>↗risque de complications CV</w:t>
      </w:r>
    </w:p>
    <w:p w:rsidR="00D10F2E" w:rsidRPr="00D10F2E" w:rsidRDefault="00D10F2E" w:rsidP="00D10F2E">
      <w:pPr>
        <w:pStyle w:val="NoSpacing"/>
        <w:numPr>
          <w:ilvl w:val="1"/>
          <w:numId w:val="6"/>
        </w:numPr>
        <w:tabs>
          <w:tab w:val="left" w:pos="5820"/>
        </w:tabs>
        <w:rPr>
          <w:sz w:val="20"/>
        </w:rPr>
      </w:pPr>
      <w:r>
        <w:rPr>
          <w:sz w:val="20"/>
        </w:rPr>
        <w:t>Suspension de l’AMM par l’AFSSAPS en janvier 2010</w:t>
      </w:r>
    </w:p>
    <w:p w:rsidR="00CC4A51" w:rsidRPr="00D10F2E" w:rsidRDefault="00D10F2E" w:rsidP="00D10F2E">
      <w:pPr>
        <w:pStyle w:val="NoSpacing"/>
        <w:numPr>
          <w:ilvl w:val="0"/>
          <w:numId w:val="11"/>
        </w:numPr>
        <w:tabs>
          <w:tab w:val="left" w:pos="5820"/>
        </w:tabs>
        <w:rPr>
          <w:b/>
          <w:color w:val="C00000"/>
        </w:rPr>
      </w:pPr>
      <w:r w:rsidRPr="00D10F2E">
        <w:rPr>
          <w:b/>
          <w:color w:val="C00000"/>
        </w:rPr>
        <w:t>Mé</w:t>
      </w:r>
      <w:r>
        <w:rPr>
          <w:b/>
          <w:color w:val="C00000"/>
        </w:rPr>
        <w:t>dicaments commercialisés</w:t>
      </w:r>
    </w:p>
    <w:p w:rsidR="00D10F2E" w:rsidRPr="00D10F2E" w:rsidRDefault="00CC4A51" w:rsidP="00D10F2E">
      <w:pPr>
        <w:pStyle w:val="NoSpacing"/>
        <w:numPr>
          <w:ilvl w:val="0"/>
          <w:numId w:val="7"/>
        </w:numPr>
        <w:tabs>
          <w:tab w:val="left" w:pos="5820"/>
        </w:tabs>
        <w:spacing w:before="120" w:after="120"/>
        <w:rPr>
          <w:b/>
          <w:sz w:val="20"/>
          <w:u w:val="single"/>
        </w:rPr>
      </w:pPr>
      <w:r w:rsidRPr="00D10F2E">
        <w:rPr>
          <w:b/>
          <w:sz w:val="20"/>
          <w:u w:val="single"/>
        </w:rPr>
        <w:t xml:space="preserve">XENICAL , ALLI </w:t>
      </w:r>
      <w:r w:rsidR="00D10F2E">
        <w:rPr>
          <w:b/>
          <w:sz w:val="20"/>
          <w:u w:val="single"/>
        </w:rPr>
        <w:t>(orlistat)</w:t>
      </w:r>
    </w:p>
    <w:tbl>
      <w:tblPr>
        <w:tblStyle w:val="TableGrid"/>
        <w:tblW w:w="0" w:type="auto"/>
        <w:tblInd w:w="360" w:type="dxa"/>
        <w:tblLook w:val="04A0" w:firstRow="1" w:lastRow="0" w:firstColumn="1" w:lastColumn="0" w:noHBand="0" w:noVBand="1"/>
      </w:tblPr>
      <w:tblGrid>
        <w:gridCol w:w="5160"/>
        <w:gridCol w:w="5162"/>
      </w:tblGrid>
      <w:tr w:rsidR="00CC4A51" w:rsidTr="00D10F2E">
        <w:tc>
          <w:tcPr>
            <w:tcW w:w="5160" w:type="dxa"/>
          </w:tcPr>
          <w:p w:rsidR="00CC4A51" w:rsidRPr="00D10F2E" w:rsidRDefault="00CC4A51" w:rsidP="00D10F2E">
            <w:pPr>
              <w:pStyle w:val="NoSpacing"/>
              <w:tabs>
                <w:tab w:val="left" w:pos="5820"/>
              </w:tabs>
              <w:jc w:val="center"/>
              <w:rPr>
                <w:b/>
                <w:color w:val="E36C0A" w:themeColor="accent6" w:themeShade="BF"/>
                <w:sz w:val="20"/>
              </w:rPr>
            </w:pPr>
            <w:r w:rsidRPr="00D10F2E">
              <w:rPr>
                <w:b/>
                <w:color w:val="E36C0A" w:themeColor="accent6" w:themeShade="BF"/>
                <w:sz w:val="20"/>
              </w:rPr>
              <w:lastRenderedPageBreak/>
              <w:t>XENICAL</w:t>
            </w:r>
          </w:p>
        </w:tc>
        <w:tc>
          <w:tcPr>
            <w:tcW w:w="5162" w:type="dxa"/>
          </w:tcPr>
          <w:p w:rsidR="00CC4A51" w:rsidRPr="00D10F2E" w:rsidRDefault="00CC4A51" w:rsidP="00D10F2E">
            <w:pPr>
              <w:pStyle w:val="NoSpacing"/>
              <w:tabs>
                <w:tab w:val="left" w:pos="5820"/>
              </w:tabs>
              <w:jc w:val="center"/>
              <w:rPr>
                <w:b/>
                <w:color w:val="E36C0A" w:themeColor="accent6" w:themeShade="BF"/>
                <w:sz w:val="20"/>
              </w:rPr>
            </w:pPr>
            <w:r w:rsidRPr="00D10F2E">
              <w:rPr>
                <w:b/>
                <w:color w:val="E36C0A" w:themeColor="accent6" w:themeShade="BF"/>
                <w:sz w:val="20"/>
              </w:rPr>
              <w:t>ALLI</w:t>
            </w:r>
          </w:p>
        </w:tc>
      </w:tr>
      <w:tr w:rsidR="00CC4A51" w:rsidTr="00D10F2E">
        <w:tc>
          <w:tcPr>
            <w:tcW w:w="5160" w:type="dxa"/>
          </w:tcPr>
          <w:p w:rsidR="00CC4A51" w:rsidRDefault="00CC4A51" w:rsidP="00CC4A51">
            <w:pPr>
              <w:pStyle w:val="NoSpacing"/>
              <w:tabs>
                <w:tab w:val="left" w:pos="5820"/>
              </w:tabs>
              <w:rPr>
                <w:sz w:val="20"/>
              </w:rPr>
            </w:pPr>
            <w:r>
              <w:rPr>
                <w:sz w:val="20"/>
              </w:rPr>
              <w:t xml:space="preserve">120mg </w:t>
            </w:r>
            <w:r w:rsidR="00D10F2E">
              <w:rPr>
                <w:sz w:val="20"/>
              </w:rPr>
              <w:t>(1998)</w:t>
            </w:r>
          </w:p>
        </w:tc>
        <w:tc>
          <w:tcPr>
            <w:tcW w:w="5162" w:type="dxa"/>
          </w:tcPr>
          <w:p w:rsidR="00CC4A51" w:rsidRDefault="00CC4A51" w:rsidP="00D10F2E">
            <w:pPr>
              <w:pStyle w:val="NoSpacing"/>
              <w:tabs>
                <w:tab w:val="left" w:pos="5820"/>
              </w:tabs>
              <w:rPr>
                <w:sz w:val="20"/>
              </w:rPr>
            </w:pPr>
            <w:r>
              <w:rPr>
                <w:sz w:val="20"/>
              </w:rPr>
              <w:t>-</w:t>
            </w:r>
            <w:r w:rsidR="00D10F2E">
              <w:rPr>
                <w:sz w:val="20"/>
              </w:rPr>
              <w:t>60mg (2009)</w:t>
            </w:r>
          </w:p>
        </w:tc>
      </w:tr>
      <w:tr w:rsidR="00CC4A51" w:rsidTr="00D10F2E">
        <w:tc>
          <w:tcPr>
            <w:tcW w:w="5160" w:type="dxa"/>
          </w:tcPr>
          <w:p w:rsidR="00CC4A51" w:rsidRDefault="00CC4A51" w:rsidP="00CC4A51">
            <w:pPr>
              <w:pStyle w:val="NoSpacing"/>
              <w:tabs>
                <w:tab w:val="left" w:pos="5820"/>
              </w:tabs>
              <w:rPr>
                <w:sz w:val="20"/>
              </w:rPr>
            </w:pPr>
            <w:r>
              <w:rPr>
                <w:sz w:val="20"/>
              </w:rPr>
              <w:t>TTT de l’obésité (IMC&gt;30kg</w:t>
            </w:r>
            <w:r w:rsidR="00D10F2E">
              <w:rPr>
                <w:sz w:val="20"/>
              </w:rPr>
              <w:t xml:space="preserve">/m²) ou de surpoids (IMC&gt;28kg/m²) </w:t>
            </w:r>
            <w:r>
              <w:rPr>
                <w:sz w:val="20"/>
              </w:rPr>
              <w:t xml:space="preserve">associé à des FdR </w:t>
            </w:r>
          </w:p>
        </w:tc>
        <w:tc>
          <w:tcPr>
            <w:tcW w:w="5162" w:type="dxa"/>
          </w:tcPr>
          <w:p w:rsidR="00CC4A51" w:rsidRDefault="00CC4A51" w:rsidP="00CC4A51">
            <w:pPr>
              <w:pStyle w:val="NoSpacing"/>
              <w:tabs>
                <w:tab w:val="left" w:pos="5820"/>
              </w:tabs>
              <w:rPr>
                <w:sz w:val="20"/>
              </w:rPr>
            </w:pPr>
            <w:r>
              <w:rPr>
                <w:sz w:val="20"/>
              </w:rPr>
              <w:t>TTT du surpoids chez l’adulte (IMC&gt;28</w:t>
            </w:r>
            <w:r w:rsidR="00D10F2E">
              <w:rPr>
                <w:sz w:val="20"/>
              </w:rPr>
              <w:t>kg/m²</w:t>
            </w:r>
            <w:r>
              <w:rPr>
                <w:sz w:val="20"/>
              </w:rPr>
              <w:t>)</w:t>
            </w:r>
            <w:r w:rsidR="00D10F2E">
              <w:rPr>
                <w:sz w:val="20"/>
              </w:rPr>
              <w:t xml:space="preserve"> en association à un régime hypocalorique modéré</w:t>
            </w:r>
          </w:p>
        </w:tc>
      </w:tr>
      <w:tr w:rsidR="00CC4A51" w:rsidTr="00D10F2E">
        <w:tc>
          <w:tcPr>
            <w:tcW w:w="5160" w:type="dxa"/>
          </w:tcPr>
          <w:p w:rsidR="00CC4A51" w:rsidRDefault="00D10F2E" w:rsidP="00CC4A51">
            <w:pPr>
              <w:pStyle w:val="NoSpacing"/>
              <w:tabs>
                <w:tab w:val="left" w:pos="5820"/>
              </w:tabs>
              <w:rPr>
                <w:sz w:val="20"/>
              </w:rPr>
            </w:pPr>
            <w:r>
              <w:rPr>
                <w:sz w:val="20"/>
              </w:rPr>
              <w:t>Prescription médicale</w:t>
            </w:r>
          </w:p>
        </w:tc>
        <w:tc>
          <w:tcPr>
            <w:tcW w:w="5162" w:type="dxa"/>
          </w:tcPr>
          <w:p w:rsidR="00CC4A51" w:rsidRDefault="00D10F2E" w:rsidP="00CC4A51">
            <w:pPr>
              <w:pStyle w:val="NoSpacing"/>
              <w:tabs>
                <w:tab w:val="left" w:pos="5820"/>
              </w:tabs>
              <w:rPr>
                <w:sz w:val="20"/>
              </w:rPr>
            </w:pPr>
            <w:r>
              <w:rPr>
                <w:sz w:val="20"/>
              </w:rPr>
              <w:t xml:space="preserve">Automédication </w:t>
            </w:r>
          </w:p>
        </w:tc>
      </w:tr>
      <w:tr w:rsidR="00D10F2E" w:rsidTr="0048430E">
        <w:tc>
          <w:tcPr>
            <w:tcW w:w="10322" w:type="dxa"/>
            <w:gridSpan w:val="2"/>
          </w:tcPr>
          <w:p w:rsidR="00D10F2E" w:rsidRPr="00D10F2E" w:rsidRDefault="00D10F2E" w:rsidP="00D10F2E">
            <w:pPr>
              <w:pStyle w:val="NoSpacing"/>
              <w:tabs>
                <w:tab w:val="left" w:pos="5820"/>
              </w:tabs>
              <w:jc w:val="center"/>
              <w:rPr>
                <w:b/>
                <w:sz w:val="20"/>
              </w:rPr>
            </w:pPr>
            <w:r w:rsidRPr="00D10F2E">
              <w:rPr>
                <w:b/>
                <w:sz w:val="20"/>
              </w:rPr>
              <w:t>Mise en garde AFSSAPS : plusieurs cas graves d’atteintes hépatiques (septembre 2011)</w:t>
            </w:r>
          </w:p>
        </w:tc>
      </w:tr>
    </w:tbl>
    <w:p w:rsidR="00D10F2E" w:rsidRDefault="00D10F2E" w:rsidP="00CC4A51">
      <w:pPr>
        <w:pStyle w:val="NoSpacing"/>
        <w:tabs>
          <w:tab w:val="left" w:pos="5820"/>
        </w:tabs>
        <w:ind w:left="360"/>
        <w:rPr>
          <w:sz w:val="20"/>
        </w:rPr>
      </w:pPr>
    </w:p>
    <w:p w:rsidR="00CC4A51" w:rsidRDefault="00CC4A51" w:rsidP="00CC4A51">
      <w:pPr>
        <w:pStyle w:val="NoSpacing"/>
        <w:tabs>
          <w:tab w:val="left" w:pos="5820"/>
        </w:tabs>
        <w:ind w:left="360"/>
        <w:rPr>
          <w:sz w:val="20"/>
        </w:rPr>
      </w:pPr>
      <w:r w:rsidRPr="00D10F2E">
        <w:rPr>
          <w:b/>
          <w:sz w:val="20"/>
          <w:u w:val="single"/>
        </w:rPr>
        <w:t>Réévaluation récente</w:t>
      </w:r>
      <w:r>
        <w:rPr>
          <w:sz w:val="20"/>
        </w:rPr>
        <w:t xml:space="preserve"> : </w:t>
      </w:r>
    </w:p>
    <w:p w:rsidR="00CC4A51" w:rsidRDefault="00CC4A51" w:rsidP="00CC4A51">
      <w:pPr>
        <w:pStyle w:val="NoSpacing"/>
        <w:numPr>
          <w:ilvl w:val="0"/>
          <w:numId w:val="7"/>
        </w:numPr>
        <w:tabs>
          <w:tab w:val="left" w:pos="5820"/>
        </w:tabs>
        <w:rPr>
          <w:sz w:val="20"/>
        </w:rPr>
      </w:pPr>
      <w:r>
        <w:rPr>
          <w:sz w:val="20"/>
        </w:rPr>
        <w:t>Orlistat seul médicament autorisé comme ant</w:t>
      </w:r>
      <w:r w:rsidR="00D10F2E">
        <w:rPr>
          <w:sz w:val="20"/>
        </w:rPr>
        <w:t>i</w:t>
      </w:r>
      <w:r>
        <w:rPr>
          <w:sz w:val="20"/>
        </w:rPr>
        <w:t>-obésité</w:t>
      </w:r>
    </w:p>
    <w:p w:rsidR="00CC4A51" w:rsidRPr="00D10F2E" w:rsidRDefault="00CC4A51" w:rsidP="00CC4A51">
      <w:pPr>
        <w:pStyle w:val="NoSpacing"/>
        <w:numPr>
          <w:ilvl w:val="0"/>
          <w:numId w:val="7"/>
        </w:numPr>
        <w:tabs>
          <w:tab w:val="left" w:pos="5820"/>
        </w:tabs>
        <w:rPr>
          <w:sz w:val="20"/>
        </w:rPr>
      </w:pPr>
      <w:r w:rsidRPr="00D10F2E">
        <w:rPr>
          <w:b/>
          <w:sz w:val="20"/>
        </w:rPr>
        <w:t>EI digestif</w:t>
      </w:r>
      <w:r w:rsidRPr="00D10F2E">
        <w:rPr>
          <w:sz w:val="20"/>
        </w:rPr>
        <w:t xml:space="preserve"> </w:t>
      </w:r>
    </w:p>
    <w:p w:rsidR="00CC4A51" w:rsidRDefault="00CC4A51" w:rsidP="00CC4A51">
      <w:pPr>
        <w:pStyle w:val="NoSpacing"/>
        <w:numPr>
          <w:ilvl w:val="0"/>
          <w:numId w:val="7"/>
        </w:numPr>
        <w:tabs>
          <w:tab w:val="left" w:pos="5820"/>
        </w:tabs>
        <w:rPr>
          <w:sz w:val="20"/>
        </w:rPr>
      </w:pPr>
      <w:r>
        <w:rPr>
          <w:sz w:val="20"/>
        </w:rPr>
        <w:t xml:space="preserve">Interactions </w:t>
      </w:r>
    </w:p>
    <w:p w:rsidR="00CC4A51" w:rsidRDefault="00CC4A51" w:rsidP="00CC4A51">
      <w:pPr>
        <w:pStyle w:val="NoSpacing"/>
        <w:numPr>
          <w:ilvl w:val="0"/>
          <w:numId w:val="7"/>
        </w:numPr>
        <w:tabs>
          <w:tab w:val="left" w:pos="5820"/>
        </w:tabs>
        <w:rPr>
          <w:sz w:val="20"/>
        </w:rPr>
      </w:pPr>
      <w:r w:rsidRPr="00D10F2E">
        <w:rPr>
          <w:b/>
          <w:sz w:val="20"/>
        </w:rPr>
        <w:t>Atteintes hépatiques</w:t>
      </w:r>
      <w:r>
        <w:rPr>
          <w:sz w:val="20"/>
        </w:rPr>
        <w:t xml:space="preserve"> très rares mais parfois sévères</w:t>
      </w:r>
    </w:p>
    <w:p w:rsidR="00CC4A51" w:rsidRDefault="00CC4A51" w:rsidP="00CC4A51">
      <w:pPr>
        <w:pStyle w:val="NoSpacing"/>
        <w:numPr>
          <w:ilvl w:val="0"/>
          <w:numId w:val="7"/>
        </w:numPr>
        <w:tabs>
          <w:tab w:val="left" w:pos="5820"/>
        </w:tabs>
        <w:rPr>
          <w:sz w:val="20"/>
        </w:rPr>
      </w:pPr>
      <w:r w:rsidRPr="00D10F2E">
        <w:rPr>
          <w:b/>
          <w:sz w:val="20"/>
        </w:rPr>
        <w:t>Mais rapport  B/R positif</w:t>
      </w:r>
      <w:r>
        <w:rPr>
          <w:sz w:val="20"/>
        </w:rPr>
        <w:t xml:space="preserve"> confirmé (mars 2012) : nombre de troubles hépatiques sévères peu important (moins de cas signalés que de cas attendus dans la population traitée 53 millions de personnes dans le monde</w:t>
      </w:r>
      <w:r w:rsidR="00D10F2E">
        <w:rPr>
          <w:sz w:val="20"/>
        </w:rPr>
        <w:t>)</w:t>
      </w:r>
    </w:p>
    <w:p w:rsidR="00CC4A51" w:rsidRDefault="00CC4A51" w:rsidP="00CC4A51">
      <w:pPr>
        <w:pStyle w:val="NoSpacing"/>
        <w:numPr>
          <w:ilvl w:val="0"/>
          <w:numId w:val="7"/>
        </w:numPr>
        <w:tabs>
          <w:tab w:val="left" w:pos="5820"/>
        </w:tabs>
        <w:rPr>
          <w:sz w:val="20"/>
        </w:rPr>
      </w:pPr>
      <w:r w:rsidRPr="00D10F2E">
        <w:rPr>
          <w:sz w:val="20"/>
          <w:u w:val="single"/>
        </w:rPr>
        <w:t>Mais message de l’ANSM </w:t>
      </w:r>
      <w:r>
        <w:rPr>
          <w:sz w:val="20"/>
        </w:rPr>
        <w:t>: « la démarche de perdre du poid</w:t>
      </w:r>
      <w:r w:rsidR="00D10F2E">
        <w:rPr>
          <w:sz w:val="20"/>
        </w:rPr>
        <w:t>s n’est ni anodine, ni sans cons</w:t>
      </w:r>
      <w:r>
        <w:rPr>
          <w:sz w:val="20"/>
        </w:rPr>
        <w:t>équences pour la santé. Elle doit entrer dans le cadre d’une démarche globale, individualisées et s’inscrire sur le long terme dans le cadre d’une prise en charge multidisciplinaire qui peut associer un médeci</w:t>
      </w:r>
      <w:r w:rsidR="00D10F2E">
        <w:rPr>
          <w:sz w:val="20"/>
        </w:rPr>
        <w:t>n, un diététicien-nutritionniste, un professionnel de l’activité physique et un psychologue »</w:t>
      </w:r>
    </w:p>
    <w:p w:rsidR="00CC4A51" w:rsidRDefault="00CC4A51" w:rsidP="00CC4A51">
      <w:pPr>
        <w:pStyle w:val="NoSpacing"/>
        <w:tabs>
          <w:tab w:val="left" w:pos="5820"/>
        </w:tabs>
        <w:rPr>
          <w:sz w:val="20"/>
        </w:rPr>
      </w:pPr>
    </w:p>
    <w:p w:rsidR="00CC4A51" w:rsidRPr="00D10F2E" w:rsidRDefault="00D10F2E" w:rsidP="00D10F2E">
      <w:pPr>
        <w:pStyle w:val="NoSpacing"/>
        <w:numPr>
          <w:ilvl w:val="0"/>
          <w:numId w:val="11"/>
        </w:numPr>
        <w:tabs>
          <w:tab w:val="left" w:pos="5820"/>
        </w:tabs>
        <w:rPr>
          <w:b/>
          <w:color w:val="C00000"/>
        </w:rPr>
      </w:pPr>
      <w:r>
        <w:rPr>
          <w:b/>
          <w:color w:val="C00000"/>
        </w:rPr>
        <w:t>Mé</w:t>
      </w:r>
      <w:r w:rsidRPr="00D10F2E">
        <w:rPr>
          <w:b/>
          <w:color w:val="C00000"/>
        </w:rPr>
        <w:t>dicaments en d</w:t>
      </w:r>
      <w:r>
        <w:rPr>
          <w:b/>
          <w:color w:val="C00000"/>
        </w:rPr>
        <w:t>é</w:t>
      </w:r>
      <w:r w:rsidRPr="00D10F2E">
        <w:rPr>
          <w:b/>
          <w:color w:val="C00000"/>
        </w:rPr>
        <w:t>veloppement</w:t>
      </w:r>
    </w:p>
    <w:p w:rsidR="00CC4A51" w:rsidRPr="00D10F2E" w:rsidRDefault="00CC4A51" w:rsidP="00D10F2E">
      <w:pPr>
        <w:pStyle w:val="NoSpacing"/>
        <w:numPr>
          <w:ilvl w:val="0"/>
          <w:numId w:val="7"/>
        </w:numPr>
        <w:tabs>
          <w:tab w:val="left" w:pos="5820"/>
        </w:tabs>
        <w:spacing w:before="120" w:after="120"/>
        <w:rPr>
          <w:b/>
          <w:sz w:val="20"/>
          <w:u w:val="single"/>
        </w:rPr>
      </w:pPr>
      <w:r w:rsidRPr="00D10F2E">
        <w:rPr>
          <w:b/>
          <w:sz w:val="20"/>
          <w:u w:val="single"/>
        </w:rPr>
        <w:t>QNEXA (phentermine + topiramate)</w:t>
      </w:r>
    </w:p>
    <w:tbl>
      <w:tblPr>
        <w:tblStyle w:val="TableGrid"/>
        <w:tblW w:w="0" w:type="auto"/>
        <w:tblInd w:w="720" w:type="dxa"/>
        <w:tblLook w:val="04A0" w:firstRow="1" w:lastRow="0" w:firstColumn="1" w:lastColumn="0" w:noHBand="0" w:noVBand="1"/>
      </w:tblPr>
      <w:tblGrid>
        <w:gridCol w:w="4994"/>
        <w:gridCol w:w="4968"/>
      </w:tblGrid>
      <w:tr w:rsidR="00D10F2E" w:rsidTr="00CC4A51">
        <w:tc>
          <w:tcPr>
            <w:tcW w:w="5303" w:type="dxa"/>
          </w:tcPr>
          <w:p w:rsidR="00CC4A51" w:rsidRPr="00D10F2E" w:rsidRDefault="00CC4A51" w:rsidP="00D10F2E">
            <w:pPr>
              <w:pStyle w:val="NoSpacing"/>
              <w:tabs>
                <w:tab w:val="left" w:pos="5820"/>
              </w:tabs>
              <w:jc w:val="center"/>
              <w:rPr>
                <w:b/>
                <w:color w:val="E36C0A" w:themeColor="accent6" w:themeShade="BF"/>
                <w:sz w:val="20"/>
              </w:rPr>
            </w:pPr>
            <w:r w:rsidRPr="00D10F2E">
              <w:rPr>
                <w:b/>
                <w:color w:val="E36C0A" w:themeColor="accent6" w:themeShade="BF"/>
                <w:sz w:val="20"/>
              </w:rPr>
              <w:t>Phentermine</w:t>
            </w:r>
          </w:p>
        </w:tc>
        <w:tc>
          <w:tcPr>
            <w:tcW w:w="5303" w:type="dxa"/>
          </w:tcPr>
          <w:p w:rsidR="00D10F2E" w:rsidRPr="00D10F2E" w:rsidRDefault="00D10F2E" w:rsidP="00D10F2E">
            <w:pPr>
              <w:pStyle w:val="NoSpacing"/>
              <w:tabs>
                <w:tab w:val="left" w:pos="5820"/>
              </w:tabs>
              <w:jc w:val="center"/>
              <w:rPr>
                <w:b/>
                <w:color w:val="E36C0A" w:themeColor="accent6" w:themeShade="BF"/>
                <w:sz w:val="20"/>
              </w:rPr>
            </w:pPr>
            <w:r w:rsidRPr="00D10F2E">
              <w:rPr>
                <w:b/>
                <w:color w:val="E36C0A" w:themeColor="accent6" w:themeShade="BF"/>
                <w:sz w:val="20"/>
              </w:rPr>
              <w:t>Topiramate</w:t>
            </w:r>
          </w:p>
        </w:tc>
      </w:tr>
      <w:tr w:rsidR="00D10F2E" w:rsidTr="00CC4A51">
        <w:tc>
          <w:tcPr>
            <w:tcW w:w="5303" w:type="dxa"/>
          </w:tcPr>
          <w:p w:rsidR="00D10F2E" w:rsidRDefault="00D10F2E" w:rsidP="00D10F2E">
            <w:pPr>
              <w:pStyle w:val="NoSpacing"/>
              <w:tabs>
                <w:tab w:val="left" w:pos="5820"/>
              </w:tabs>
              <w:rPr>
                <w:sz w:val="20"/>
              </w:rPr>
            </w:pPr>
            <w:r w:rsidRPr="00D10F2E">
              <w:rPr>
                <w:b/>
                <w:sz w:val="20"/>
              </w:rPr>
              <w:t>Analogue amphétaminique</w:t>
            </w:r>
            <w:r>
              <w:rPr>
                <w:sz w:val="20"/>
              </w:rPr>
              <w:t> :</w:t>
            </w:r>
          </w:p>
          <w:p w:rsidR="00D10F2E" w:rsidRDefault="00D10F2E" w:rsidP="00D10F2E">
            <w:pPr>
              <w:pStyle w:val="NoSpacing"/>
              <w:numPr>
                <w:ilvl w:val="0"/>
                <w:numId w:val="13"/>
              </w:numPr>
              <w:tabs>
                <w:tab w:val="left" w:pos="5820"/>
              </w:tabs>
              <w:rPr>
                <w:sz w:val="20"/>
              </w:rPr>
            </w:pPr>
            <w:r>
              <w:rPr>
                <w:sz w:val="20"/>
              </w:rPr>
              <w:t>↗↗↗activité noradrénaline</w:t>
            </w:r>
          </w:p>
          <w:p w:rsidR="00D10F2E" w:rsidRDefault="00D10F2E" w:rsidP="00D10F2E">
            <w:pPr>
              <w:pStyle w:val="NoSpacing"/>
              <w:numPr>
                <w:ilvl w:val="0"/>
                <w:numId w:val="13"/>
              </w:numPr>
              <w:tabs>
                <w:tab w:val="left" w:pos="5820"/>
              </w:tabs>
              <w:rPr>
                <w:sz w:val="20"/>
              </w:rPr>
            </w:pPr>
            <w:r>
              <w:rPr>
                <w:sz w:val="20"/>
              </w:rPr>
              <w:t>↗ activité dopamine</w:t>
            </w:r>
          </w:p>
          <w:p w:rsidR="00D10F2E" w:rsidRDefault="00D10F2E" w:rsidP="00D10F2E">
            <w:pPr>
              <w:pStyle w:val="NoSpacing"/>
              <w:numPr>
                <w:ilvl w:val="0"/>
                <w:numId w:val="13"/>
              </w:numPr>
              <w:tabs>
                <w:tab w:val="left" w:pos="5820"/>
              </w:tabs>
              <w:rPr>
                <w:sz w:val="20"/>
              </w:rPr>
            </w:pPr>
            <w:r>
              <w:rPr>
                <w:sz w:val="20"/>
              </w:rPr>
              <w:t>↗ activité des transporteurs de la sérotonine</w:t>
            </w:r>
          </w:p>
          <w:p w:rsidR="00D10F2E" w:rsidRDefault="00D10F2E" w:rsidP="00D10F2E">
            <w:pPr>
              <w:pStyle w:val="NoSpacing"/>
              <w:tabs>
                <w:tab w:val="left" w:pos="5820"/>
              </w:tabs>
              <w:rPr>
                <w:sz w:val="20"/>
              </w:rPr>
            </w:pPr>
            <w:r w:rsidRPr="00D10F2E">
              <w:rPr>
                <w:sz w:val="20"/>
                <w:u w:val="single"/>
              </w:rPr>
              <w:t>Mécanisme principal</w:t>
            </w:r>
            <w:r>
              <w:rPr>
                <w:sz w:val="20"/>
              </w:rPr>
              <w:t xml:space="preserve"> : induction du système noradrénergique central → </w:t>
            </w:r>
            <w:r w:rsidRPr="00D10F2E">
              <w:rPr>
                <w:b/>
                <w:color w:val="C00000"/>
                <w:sz w:val="20"/>
              </w:rPr>
              <w:t>Freination de la prise alimentaire / Retard de la sensation de faim</w:t>
            </w:r>
          </w:p>
        </w:tc>
        <w:tc>
          <w:tcPr>
            <w:tcW w:w="5303" w:type="dxa"/>
          </w:tcPr>
          <w:p w:rsidR="00D10F2E" w:rsidRPr="00D10F2E" w:rsidRDefault="00D10F2E" w:rsidP="00D10F2E">
            <w:pPr>
              <w:pStyle w:val="NoSpacing"/>
              <w:tabs>
                <w:tab w:val="left" w:pos="5820"/>
              </w:tabs>
              <w:rPr>
                <w:b/>
                <w:sz w:val="20"/>
                <w:u w:val="single"/>
              </w:rPr>
            </w:pPr>
            <w:r w:rsidRPr="00D10F2E">
              <w:rPr>
                <w:b/>
                <w:sz w:val="20"/>
                <w:u w:val="single"/>
              </w:rPr>
              <w:t>Antiépileptique :</w:t>
            </w:r>
          </w:p>
          <w:p w:rsidR="00D10F2E" w:rsidRDefault="00D10F2E" w:rsidP="00D10F2E">
            <w:pPr>
              <w:pStyle w:val="NoSpacing"/>
              <w:numPr>
                <w:ilvl w:val="0"/>
                <w:numId w:val="14"/>
              </w:numPr>
              <w:tabs>
                <w:tab w:val="left" w:pos="5820"/>
              </w:tabs>
              <w:rPr>
                <w:sz w:val="20"/>
              </w:rPr>
            </w:pPr>
            <w:r>
              <w:rPr>
                <w:sz w:val="20"/>
              </w:rPr>
              <w:t>Rôle dans l’inhibition des neurotransmissions excitatrices</w:t>
            </w:r>
          </w:p>
          <w:p w:rsidR="00D10F2E" w:rsidRDefault="00D10F2E" w:rsidP="00D10F2E">
            <w:pPr>
              <w:pStyle w:val="NoSpacing"/>
              <w:tabs>
                <w:tab w:val="left" w:pos="5820"/>
              </w:tabs>
              <w:rPr>
                <w:sz w:val="20"/>
              </w:rPr>
            </w:pPr>
            <w:r>
              <w:rPr>
                <w:sz w:val="20"/>
              </w:rPr>
              <w:t xml:space="preserve">Mécanisme d’action inconnu dans l’obésité → </w:t>
            </w:r>
            <w:r w:rsidRPr="00D10F2E">
              <w:rPr>
                <w:b/>
                <w:color w:val="C00000"/>
                <w:sz w:val="20"/>
              </w:rPr>
              <w:t>Accélération de la satiété</w:t>
            </w:r>
          </w:p>
          <w:p w:rsidR="00D10F2E" w:rsidRDefault="00D10F2E" w:rsidP="00D10F2E">
            <w:pPr>
              <w:pStyle w:val="NoSpacing"/>
              <w:tabs>
                <w:tab w:val="left" w:pos="5820"/>
              </w:tabs>
              <w:rPr>
                <w:sz w:val="20"/>
              </w:rPr>
            </w:pPr>
          </w:p>
        </w:tc>
      </w:tr>
    </w:tbl>
    <w:p w:rsidR="0003206E" w:rsidRDefault="0003206E" w:rsidP="0003206E">
      <w:pPr>
        <w:pStyle w:val="NoSpacing"/>
        <w:tabs>
          <w:tab w:val="left" w:pos="5820"/>
        </w:tabs>
        <w:ind w:left="1440"/>
        <w:rPr>
          <w:sz w:val="20"/>
        </w:rPr>
      </w:pPr>
    </w:p>
    <w:p w:rsidR="00CC4A51" w:rsidRPr="0003206E" w:rsidRDefault="00CC4A51" w:rsidP="009745E7">
      <w:pPr>
        <w:pStyle w:val="NoSpacing"/>
        <w:numPr>
          <w:ilvl w:val="1"/>
          <w:numId w:val="7"/>
        </w:numPr>
        <w:tabs>
          <w:tab w:val="left" w:pos="5820"/>
        </w:tabs>
        <w:rPr>
          <w:b/>
          <w:sz w:val="20"/>
        </w:rPr>
      </w:pPr>
      <w:r w:rsidRPr="0003206E">
        <w:rPr>
          <w:b/>
          <w:sz w:val="20"/>
        </w:rPr>
        <w:t xml:space="preserve">Mais </w:t>
      </w:r>
    </w:p>
    <w:p w:rsidR="00CC4A51" w:rsidRDefault="00CC4A51" w:rsidP="009745E7">
      <w:pPr>
        <w:pStyle w:val="NoSpacing"/>
        <w:numPr>
          <w:ilvl w:val="2"/>
          <w:numId w:val="7"/>
        </w:numPr>
        <w:tabs>
          <w:tab w:val="left" w:pos="5820"/>
        </w:tabs>
        <w:rPr>
          <w:sz w:val="20"/>
        </w:rPr>
      </w:pPr>
      <w:r>
        <w:rPr>
          <w:sz w:val="20"/>
        </w:rPr>
        <w:t xml:space="preserve">Seulement 53% à 69% des patients ont terminé les 56 semaines de suivi </w:t>
      </w:r>
    </w:p>
    <w:p w:rsidR="00CC4A51" w:rsidRDefault="00CC4A51" w:rsidP="009745E7">
      <w:pPr>
        <w:pStyle w:val="NoSpacing"/>
        <w:numPr>
          <w:ilvl w:val="2"/>
          <w:numId w:val="7"/>
        </w:numPr>
        <w:tabs>
          <w:tab w:val="left" w:pos="5820"/>
        </w:tabs>
        <w:rPr>
          <w:sz w:val="20"/>
        </w:rPr>
      </w:pPr>
      <w:r>
        <w:rPr>
          <w:sz w:val="20"/>
        </w:rPr>
        <w:t xml:space="preserve">4 à 7 fois plus d’arrêt dans </w:t>
      </w:r>
      <w:r w:rsidR="0003206E">
        <w:rPr>
          <w:sz w:val="20"/>
        </w:rPr>
        <w:t>un groupe forte dose du à des EI de typ</w:t>
      </w:r>
      <w:r>
        <w:rPr>
          <w:sz w:val="20"/>
        </w:rPr>
        <w:t>e anxiété, dépression, insomnie</w:t>
      </w:r>
    </w:p>
    <w:p w:rsidR="0003206E" w:rsidRDefault="0003206E" w:rsidP="009745E7">
      <w:pPr>
        <w:pStyle w:val="NoSpacing"/>
        <w:numPr>
          <w:ilvl w:val="2"/>
          <w:numId w:val="7"/>
        </w:numPr>
        <w:tabs>
          <w:tab w:val="left" w:pos="5820"/>
        </w:tabs>
        <w:rPr>
          <w:sz w:val="20"/>
        </w:rPr>
      </w:pPr>
      <w:r>
        <w:rPr>
          <w:sz w:val="20"/>
        </w:rPr>
        <w:t>Majoration des EI atteintes cognitives</w:t>
      </w:r>
    </w:p>
    <w:p w:rsidR="0003206E" w:rsidRDefault="0003206E" w:rsidP="009745E7">
      <w:pPr>
        <w:pStyle w:val="NoSpacing"/>
        <w:numPr>
          <w:ilvl w:val="2"/>
          <w:numId w:val="7"/>
        </w:numPr>
        <w:tabs>
          <w:tab w:val="left" w:pos="5820"/>
        </w:tabs>
        <w:rPr>
          <w:sz w:val="20"/>
        </w:rPr>
      </w:pPr>
      <w:r>
        <w:rPr>
          <w:sz w:val="20"/>
        </w:rPr>
        <w:t xml:space="preserve">Risque CV potentiel </w:t>
      </w:r>
    </w:p>
    <w:p w:rsidR="0003206E" w:rsidRDefault="0003206E" w:rsidP="009745E7">
      <w:pPr>
        <w:pStyle w:val="NoSpacing"/>
        <w:numPr>
          <w:ilvl w:val="2"/>
          <w:numId w:val="7"/>
        </w:numPr>
        <w:tabs>
          <w:tab w:val="left" w:pos="5820"/>
        </w:tabs>
        <w:rPr>
          <w:sz w:val="20"/>
        </w:rPr>
      </w:pPr>
      <w:r>
        <w:rPr>
          <w:sz w:val="20"/>
        </w:rPr>
        <w:t>Risque tératogène ???</w:t>
      </w:r>
    </w:p>
    <w:p w:rsidR="0003206E" w:rsidRDefault="0003206E" w:rsidP="0003206E">
      <w:pPr>
        <w:pStyle w:val="NoSpacing"/>
        <w:tabs>
          <w:tab w:val="left" w:pos="5820"/>
        </w:tabs>
        <w:ind w:left="2160"/>
        <w:rPr>
          <w:sz w:val="20"/>
        </w:rPr>
      </w:pPr>
    </w:p>
    <w:p w:rsidR="00CC4A51" w:rsidRPr="0003206E" w:rsidRDefault="009745E7" w:rsidP="00CC4A51">
      <w:pPr>
        <w:pStyle w:val="NoSpacing"/>
        <w:numPr>
          <w:ilvl w:val="0"/>
          <w:numId w:val="7"/>
        </w:numPr>
        <w:tabs>
          <w:tab w:val="left" w:pos="5820"/>
        </w:tabs>
        <w:rPr>
          <w:b/>
          <w:sz w:val="20"/>
          <w:u w:val="single"/>
        </w:rPr>
      </w:pPr>
      <w:r w:rsidRPr="0003206E">
        <w:rPr>
          <w:b/>
          <w:sz w:val="20"/>
          <w:u w:val="single"/>
        </w:rPr>
        <w:t>CONTRAVE (bupropion + naltrexone)</w:t>
      </w:r>
    </w:p>
    <w:p w:rsidR="009745E7" w:rsidRDefault="009745E7" w:rsidP="009745E7">
      <w:pPr>
        <w:pStyle w:val="NoSpacing"/>
        <w:numPr>
          <w:ilvl w:val="1"/>
          <w:numId w:val="7"/>
        </w:numPr>
        <w:tabs>
          <w:tab w:val="left" w:pos="5820"/>
        </w:tabs>
        <w:rPr>
          <w:sz w:val="20"/>
        </w:rPr>
      </w:pPr>
      <w:r w:rsidRPr="0003206E">
        <w:rPr>
          <w:b/>
          <w:color w:val="E36C0A" w:themeColor="accent6" w:themeShade="BF"/>
          <w:sz w:val="20"/>
        </w:rPr>
        <w:t>Buproprion </w:t>
      </w:r>
      <w:r>
        <w:rPr>
          <w:sz w:val="20"/>
        </w:rPr>
        <w:t>: indication sevrage tabagique</w:t>
      </w:r>
    </w:p>
    <w:p w:rsidR="009745E7" w:rsidRDefault="0003206E" w:rsidP="009745E7">
      <w:pPr>
        <w:pStyle w:val="NoSpacing"/>
        <w:numPr>
          <w:ilvl w:val="2"/>
          <w:numId w:val="7"/>
        </w:numPr>
        <w:tabs>
          <w:tab w:val="left" w:pos="5820"/>
        </w:tabs>
        <w:rPr>
          <w:sz w:val="20"/>
        </w:rPr>
      </w:pPr>
      <w:r>
        <w:rPr>
          <w:sz w:val="20"/>
        </w:rPr>
        <w:t>↗activité noradrénaline</w:t>
      </w:r>
    </w:p>
    <w:p w:rsidR="009745E7" w:rsidRDefault="0003206E" w:rsidP="009745E7">
      <w:pPr>
        <w:pStyle w:val="NoSpacing"/>
        <w:numPr>
          <w:ilvl w:val="2"/>
          <w:numId w:val="7"/>
        </w:numPr>
        <w:tabs>
          <w:tab w:val="left" w:pos="5820"/>
        </w:tabs>
        <w:rPr>
          <w:sz w:val="20"/>
        </w:rPr>
      </w:pPr>
      <w:r>
        <w:rPr>
          <w:sz w:val="20"/>
        </w:rPr>
        <w:t>↗</w:t>
      </w:r>
      <w:r w:rsidR="009745E7">
        <w:rPr>
          <w:sz w:val="20"/>
        </w:rPr>
        <w:t>activité dopamine</w:t>
      </w:r>
    </w:p>
    <w:p w:rsidR="009745E7" w:rsidRDefault="0003206E" w:rsidP="009745E7">
      <w:pPr>
        <w:pStyle w:val="NoSpacing"/>
        <w:numPr>
          <w:ilvl w:val="2"/>
          <w:numId w:val="7"/>
        </w:numPr>
        <w:tabs>
          <w:tab w:val="left" w:pos="5820"/>
        </w:tabs>
        <w:rPr>
          <w:sz w:val="20"/>
        </w:rPr>
      </w:pPr>
      <w:r>
        <w:rPr>
          <w:sz w:val="20"/>
        </w:rPr>
        <w:t xml:space="preserve">Augmente l’activité de la pro-opiomélanocortine (POMC) → </w:t>
      </w:r>
      <w:r w:rsidRPr="0003206E">
        <w:rPr>
          <w:b/>
          <w:color w:val="C00000"/>
          <w:sz w:val="20"/>
        </w:rPr>
        <w:t>Diminution de la prise alimentaire</w:t>
      </w:r>
    </w:p>
    <w:p w:rsidR="0003206E" w:rsidRPr="0003206E" w:rsidRDefault="0003206E" w:rsidP="0003206E">
      <w:pPr>
        <w:pStyle w:val="NoSpacing"/>
        <w:numPr>
          <w:ilvl w:val="1"/>
          <w:numId w:val="7"/>
        </w:numPr>
        <w:tabs>
          <w:tab w:val="left" w:pos="5820"/>
        </w:tabs>
        <w:rPr>
          <w:b/>
          <w:color w:val="E36C0A" w:themeColor="accent6" w:themeShade="BF"/>
          <w:sz w:val="20"/>
        </w:rPr>
      </w:pPr>
      <w:r w:rsidRPr="0003206E">
        <w:rPr>
          <w:b/>
          <w:color w:val="E36C0A" w:themeColor="accent6" w:themeShade="BF"/>
          <w:sz w:val="20"/>
        </w:rPr>
        <w:t xml:space="preserve">Naltrexone </w:t>
      </w:r>
    </w:p>
    <w:p w:rsidR="0003206E" w:rsidRDefault="0003206E" w:rsidP="0003206E">
      <w:pPr>
        <w:pStyle w:val="NoSpacing"/>
        <w:numPr>
          <w:ilvl w:val="2"/>
          <w:numId w:val="7"/>
        </w:numPr>
        <w:tabs>
          <w:tab w:val="left" w:pos="5820"/>
        </w:tabs>
        <w:rPr>
          <w:sz w:val="20"/>
        </w:rPr>
      </w:pPr>
      <w:r>
        <w:rPr>
          <w:sz w:val="20"/>
        </w:rPr>
        <w:t xml:space="preserve">TTT de soutien dans le sevrage des toxicomanies, sevrage alcoolique </w:t>
      </w:r>
    </w:p>
    <w:p w:rsidR="0003206E" w:rsidRDefault="0003206E" w:rsidP="0003206E">
      <w:pPr>
        <w:pStyle w:val="NoSpacing"/>
        <w:numPr>
          <w:ilvl w:val="2"/>
          <w:numId w:val="7"/>
        </w:numPr>
        <w:tabs>
          <w:tab w:val="left" w:pos="5820"/>
        </w:tabs>
        <w:rPr>
          <w:sz w:val="20"/>
        </w:rPr>
      </w:pPr>
      <w:r>
        <w:rPr>
          <w:sz w:val="20"/>
        </w:rPr>
        <w:t xml:space="preserve">Antagoniste morphinique </w:t>
      </w:r>
    </w:p>
    <w:p w:rsidR="0003206E" w:rsidRPr="0003206E" w:rsidRDefault="0003206E" w:rsidP="0003206E">
      <w:pPr>
        <w:pStyle w:val="NoSpacing"/>
        <w:numPr>
          <w:ilvl w:val="2"/>
          <w:numId w:val="7"/>
        </w:numPr>
        <w:tabs>
          <w:tab w:val="left" w:pos="5820"/>
        </w:tabs>
        <w:rPr>
          <w:sz w:val="20"/>
        </w:rPr>
      </w:pPr>
      <w:r>
        <w:rPr>
          <w:sz w:val="20"/>
        </w:rPr>
        <w:t xml:space="preserve">Inhibe l’auto-inhibition de la POMC → </w:t>
      </w:r>
      <w:r w:rsidRPr="0003206E">
        <w:rPr>
          <w:b/>
          <w:color w:val="C00000"/>
          <w:sz w:val="20"/>
        </w:rPr>
        <w:t>Diminution de la prise alimentaire</w:t>
      </w:r>
    </w:p>
    <w:p w:rsidR="0003206E" w:rsidRDefault="0003206E" w:rsidP="0003206E">
      <w:pPr>
        <w:pStyle w:val="NoSpacing"/>
        <w:tabs>
          <w:tab w:val="left" w:pos="5820"/>
        </w:tabs>
        <w:ind w:left="1440"/>
        <w:rPr>
          <w:sz w:val="20"/>
        </w:rPr>
      </w:pPr>
    </w:p>
    <w:p w:rsidR="0003206E" w:rsidRDefault="0003206E" w:rsidP="0003206E">
      <w:pPr>
        <w:pStyle w:val="NoSpacing"/>
        <w:numPr>
          <w:ilvl w:val="1"/>
          <w:numId w:val="7"/>
        </w:numPr>
        <w:tabs>
          <w:tab w:val="left" w:pos="5820"/>
        </w:tabs>
        <w:rPr>
          <w:sz w:val="20"/>
        </w:rPr>
      </w:pPr>
      <w:r>
        <w:rPr>
          <w:sz w:val="20"/>
        </w:rPr>
        <w:t>Diminution significative du poids et du tour de taille pour les personnes traitées</w:t>
      </w:r>
    </w:p>
    <w:p w:rsidR="0003206E" w:rsidRDefault="0003206E" w:rsidP="0003206E">
      <w:pPr>
        <w:pStyle w:val="NoSpacing"/>
        <w:numPr>
          <w:ilvl w:val="1"/>
          <w:numId w:val="7"/>
        </w:numPr>
        <w:tabs>
          <w:tab w:val="left" w:pos="5820"/>
        </w:tabs>
        <w:rPr>
          <w:sz w:val="20"/>
        </w:rPr>
      </w:pPr>
      <w:r>
        <w:rPr>
          <w:sz w:val="20"/>
        </w:rPr>
        <w:t>Amélioration de la résistance à l’insuline, du HDL-Cholestérol, des TG</w:t>
      </w:r>
    </w:p>
    <w:p w:rsidR="0003206E" w:rsidRDefault="0003206E" w:rsidP="0003206E">
      <w:pPr>
        <w:pStyle w:val="NoSpacing"/>
        <w:tabs>
          <w:tab w:val="left" w:pos="5820"/>
        </w:tabs>
        <w:ind w:left="1440"/>
        <w:rPr>
          <w:sz w:val="20"/>
        </w:rPr>
      </w:pPr>
    </w:p>
    <w:p w:rsidR="0003206E" w:rsidRDefault="0003206E" w:rsidP="0003206E">
      <w:pPr>
        <w:pStyle w:val="NoSpacing"/>
        <w:numPr>
          <w:ilvl w:val="1"/>
          <w:numId w:val="7"/>
        </w:numPr>
        <w:tabs>
          <w:tab w:val="left" w:pos="5820"/>
        </w:tabs>
        <w:rPr>
          <w:sz w:val="20"/>
        </w:rPr>
      </w:pPr>
      <w:r w:rsidRPr="0003206E">
        <w:rPr>
          <w:b/>
          <w:sz w:val="20"/>
        </w:rPr>
        <w:t>MAIS </w:t>
      </w:r>
      <w:r>
        <w:rPr>
          <w:sz w:val="20"/>
        </w:rPr>
        <w:t xml:space="preserve">: </w:t>
      </w:r>
    </w:p>
    <w:p w:rsidR="0003206E" w:rsidRDefault="0003206E" w:rsidP="0003206E">
      <w:pPr>
        <w:pStyle w:val="NoSpacing"/>
        <w:numPr>
          <w:ilvl w:val="2"/>
          <w:numId w:val="7"/>
        </w:numPr>
        <w:tabs>
          <w:tab w:val="left" w:pos="5820"/>
        </w:tabs>
        <w:rPr>
          <w:sz w:val="20"/>
        </w:rPr>
      </w:pPr>
      <w:r>
        <w:rPr>
          <w:sz w:val="20"/>
        </w:rPr>
        <w:t xml:space="preserve">49% des patients ont arrêté l’étude en cours </w:t>
      </w:r>
    </w:p>
    <w:p w:rsidR="0003206E" w:rsidRDefault="0003206E" w:rsidP="0003206E">
      <w:pPr>
        <w:pStyle w:val="NoSpacing"/>
        <w:numPr>
          <w:ilvl w:val="3"/>
          <w:numId w:val="7"/>
        </w:numPr>
        <w:tabs>
          <w:tab w:val="left" w:pos="5820"/>
        </w:tabs>
        <w:rPr>
          <w:sz w:val="20"/>
        </w:rPr>
      </w:pPr>
      <w:r>
        <w:rPr>
          <w:sz w:val="20"/>
        </w:rPr>
        <w:t>EI (significatif TTT &gt; placebo)</w:t>
      </w:r>
    </w:p>
    <w:p w:rsidR="0003206E" w:rsidRDefault="0003206E" w:rsidP="0003206E">
      <w:pPr>
        <w:pStyle w:val="NoSpacing"/>
        <w:numPr>
          <w:ilvl w:val="3"/>
          <w:numId w:val="7"/>
        </w:numPr>
        <w:tabs>
          <w:tab w:val="left" w:pos="5820"/>
        </w:tabs>
        <w:rPr>
          <w:sz w:val="20"/>
        </w:rPr>
      </w:pPr>
      <w:r>
        <w:rPr>
          <w:sz w:val="20"/>
        </w:rPr>
        <w:t>Perte de poids non suffisante (placebo)</w:t>
      </w:r>
    </w:p>
    <w:p w:rsidR="0003206E" w:rsidRDefault="0003206E" w:rsidP="0003206E">
      <w:pPr>
        <w:pStyle w:val="NoSpacing"/>
        <w:tabs>
          <w:tab w:val="left" w:pos="5820"/>
        </w:tabs>
        <w:ind w:left="2880"/>
        <w:rPr>
          <w:sz w:val="20"/>
        </w:rPr>
      </w:pPr>
    </w:p>
    <w:p w:rsidR="0003206E" w:rsidRPr="0003206E" w:rsidRDefault="0003206E" w:rsidP="0003206E">
      <w:pPr>
        <w:pStyle w:val="NoSpacing"/>
        <w:numPr>
          <w:ilvl w:val="2"/>
          <w:numId w:val="7"/>
        </w:numPr>
        <w:tabs>
          <w:tab w:val="left" w:pos="5820"/>
        </w:tabs>
        <w:rPr>
          <w:b/>
          <w:sz w:val="20"/>
          <w:u w:val="single"/>
        </w:rPr>
      </w:pPr>
      <w:r w:rsidRPr="0003206E">
        <w:rPr>
          <w:b/>
          <w:sz w:val="20"/>
          <w:u w:val="single"/>
        </w:rPr>
        <w:t xml:space="preserve">EI de type </w:t>
      </w:r>
    </w:p>
    <w:p w:rsidR="0003206E" w:rsidRDefault="0003206E" w:rsidP="0003206E">
      <w:pPr>
        <w:pStyle w:val="NoSpacing"/>
        <w:numPr>
          <w:ilvl w:val="3"/>
          <w:numId w:val="7"/>
        </w:numPr>
        <w:tabs>
          <w:tab w:val="left" w:pos="5820"/>
        </w:tabs>
        <w:rPr>
          <w:sz w:val="20"/>
        </w:rPr>
      </w:pPr>
      <w:r>
        <w:rPr>
          <w:sz w:val="20"/>
        </w:rPr>
        <w:t xml:space="preserve">Troubles gastro-intestinaux </w:t>
      </w:r>
    </w:p>
    <w:p w:rsidR="0003206E" w:rsidRDefault="0003206E" w:rsidP="0003206E">
      <w:pPr>
        <w:pStyle w:val="NoSpacing"/>
        <w:numPr>
          <w:ilvl w:val="3"/>
          <w:numId w:val="7"/>
        </w:numPr>
        <w:tabs>
          <w:tab w:val="left" w:pos="5820"/>
        </w:tabs>
        <w:rPr>
          <w:sz w:val="20"/>
        </w:rPr>
      </w:pPr>
      <w:r>
        <w:rPr>
          <w:sz w:val="20"/>
        </w:rPr>
        <w:t>Nausées (début TTT lors  ↗ progressive des doses)</w:t>
      </w:r>
    </w:p>
    <w:p w:rsidR="0003206E" w:rsidRDefault="0003206E" w:rsidP="0003206E">
      <w:pPr>
        <w:pStyle w:val="NoSpacing"/>
        <w:numPr>
          <w:ilvl w:val="3"/>
          <w:numId w:val="7"/>
        </w:numPr>
        <w:tabs>
          <w:tab w:val="left" w:pos="5820"/>
        </w:tabs>
        <w:rPr>
          <w:sz w:val="20"/>
        </w:rPr>
      </w:pPr>
      <w:r>
        <w:rPr>
          <w:sz w:val="20"/>
        </w:rPr>
        <w:t>Pathologies CV</w:t>
      </w:r>
    </w:p>
    <w:p w:rsidR="0003206E" w:rsidRPr="0003206E" w:rsidRDefault="0003206E" w:rsidP="0003206E">
      <w:pPr>
        <w:pStyle w:val="NoSpacing"/>
        <w:tabs>
          <w:tab w:val="left" w:pos="5820"/>
        </w:tabs>
        <w:ind w:left="1440"/>
        <w:rPr>
          <w:b/>
          <w:color w:val="C00000"/>
          <w:sz w:val="20"/>
        </w:rPr>
      </w:pPr>
      <w:r>
        <w:rPr>
          <w:b/>
          <w:color w:val="C00000"/>
          <w:sz w:val="20"/>
        </w:rPr>
        <w:lastRenderedPageBreak/>
        <w:t xml:space="preserve">→ </w:t>
      </w:r>
      <w:r w:rsidRPr="0003206E">
        <w:rPr>
          <w:b/>
          <w:color w:val="C00000"/>
          <w:sz w:val="20"/>
        </w:rPr>
        <w:t>NECESSITE D’ETUDES COMPLEMENTAIRES</w:t>
      </w:r>
    </w:p>
    <w:p w:rsidR="0003206E" w:rsidRDefault="0003206E" w:rsidP="0003206E">
      <w:pPr>
        <w:pStyle w:val="NoSpacing"/>
        <w:tabs>
          <w:tab w:val="left" w:pos="5820"/>
        </w:tabs>
        <w:ind w:left="720"/>
        <w:rPr>
          <w:sz w:val="20"/>
        </w:rPr>
      </w:pPr>
    </w:p>
    <w:p w:rsidR="0025716B" w:rsidRPr="0003206E" w:rsidRDefault="0003206E" w:rsidP="0003206E">
      <w:pPr>
        <w:pStyle w:val="NoSpacing"/>
        <w:numPr>
          <w:ilvl w:val="0"/>
          <w:numId w:val="14"/>
        </w:numPr>
        <w:tabs>
          <w:tab w:val="left" w:pos="5820"/>
        </w:tabs>
        <w:rPr>
          <w:b/>
          <w:sz w:val="20"/>
          <w:u w:val="single"/>
        </w:rPr>
      </w:pPr>
      <w:r w:rsidRPr="0003206E">
        <w:rPr>
          <w:b/>
          <w:sz w:val="20"/>
          <w:u w:val="single"/>
        </w:rPr>
        <w:t>Lorcaserine</w:t>
      </w:r>
    </w:p>
    <w:p w:rsidR="0003206E" w:rsidRDefault="0003206E" w:rsidP="0003206E">
      <w:pPr>
        <w:pStyle w:val="NoSpacing"/>
        <w:numPr>
          <w:ilvl w:val="1"/>
          <w:numId w:val="14"/>
        </w:numPr>
        <w:rPr>
          <w:sz w:val="20"/>
        </w:rPr>
      </w:pPr>
      <w:r>
        <w:rPr>
          <w:sz w:val="20"/>
        </w:rPr>
        <w:t>A</w:t>
      </w:r>
      <w:r w:rsidRPr="0003206E">
        <w:rPr>
          <w:sz w:val="20"/>
        </w:rPr>
        <w:t>ctivation sélective des récepteurs 5-HT2C centraux avec une sensibilité :</w:t>
      </w:r>
    </w:p>
    <w:p w:rsidR="0003206E" w:rsidRDefault="0003206E" w:rsidP="0003206E">
      <w:pPr>
        <w:pStyle w:val="NoSpacing"/>
        <w:numPr>
          <w:ilvl w:val="2"/>
          <w:numId w:val="14"/>
        </w:numPr>
        <w:rPr>
          <w:sz w:val="20"/>
        </w:rPr>
      </w:pPr>
      <w:r w:rsidRPr="0003206E">
        <w:rPr>
          <w:sz w:val="20"/>
        </w:rPr>
        <w:t>15x &gt; aux récepteurs 5-HT2</w:t>
      </w:r>
      <w:r>
        <w:rPr>
          <w:sz w:val="20"/>
        </w:rPr>
        <w:t>A</w:t>
      </w:r>
    </w:p>
    <w:p w:rsidR="0003206E" w:rsidRPr="0003206E" w:rsidRDefault="0003206E" w:rsidP="0003206E">
      <w:pPr>
        <w:pStyle w:val="NoSpacing"/>
        <w:numPr>
          <w:ilvl w:val="2"/>
          <w:numId w:val="14"/>
        </w:numPr>
        <w:rPr>
          <w:sz w:val="20"/>
        </w:rPr>
      </w:pPr>
      <w:r w:rsidRPr="0003206E">
        <w:rPr>
          <w:sz w:val="20"/>
        </w:rPr>
        <w:t xml:space="preserve"> 100x &gt; aux récepteurs 5-HT2B</w:t>
      </w:r>
    </w:p>
    <w:p w:rsidR="0003206E" w:rsidRDefault="0003206E" w:rsidP="0003206E">
      <w:pPr>
        <w:pStyle w:val="NoSpacing"/>
        <w:ind w:left="720"/>
        <w:rPr>
          <w:b/>
          <w:sz w:val="20"/>
        </w:rPr>
      </w:pPr>
      <w:r w:rsidRPr="0003206E">
        <w:rPr>
          <w:rFonts w:hint="eastAsia"/>
          <w:b/>
          <w:sz w:val="20"/>
        </w:rPr>
        <w:sym w:font="Wingdings" w:char="00E8"/>
      </w:r>
      <w:r>
        <w:rPr>
          <w:b/>
          <w:sz w:val="20"/>
        </w:rPr>
        <w:t xml:space="preserve"> P</w:t>
      </w:r>
      <w:r w:rsidRPr="0003206E">
        <w:rPr>
          <w:b/>
          <w:sz w:val="20"/>
        </w:rPr>
        <w:t>ermet diminution des EI types valvulopathie et HTAP</w:t>
      </w:r>
    </w:p>
    <w:p w:rsidR="0003206E" w:rsidRPr="0003206E" w:rsidRDefault="0003206E" w:rsidP="0003206E">
      <w:pPr>
        <w:pStyle w:val="NoSpacing"/>
        <w:numPr>
          <w:ilvl w:val="1"/>
          <w:numId w:val="14"/>
        </w:numPr>
        <w:rPr>
          <w:sz w:val="20"/>
        </w:rPr>
      </w:pPr>
      <w:r>
        <w:rPr>
          <w:sz w:val="20"/>
        </w:rPr>
        <w:t>E</w:t>
      </w:r>
      <w:r w:rsidRPr="0003206E">
        <w:rPr>
          <w:sz w:val="20"/>
        </w:rPr>
        <w:t>tude multicentrique : 3182 sujets obèses, étude sur 2 ans :</w:t>
      </w:r>
    </w:p>
    <w:p w:rsidR="0003206E" w:rsidRPr="0003206E" w:rsidRDefault="0003206E" w:rsidP="0003206E">
      <w:pPr>
        <w:pStyle w:val="NoSpacing"/>
        <w:numPr>
          <w:ilvl w:val="2"/>
          <w:numId w:val="14"/>
        </w:numPr>
        <w:rPr>
          <w:sz w:val="20"/>
        </w:rPr>
      </w:pPr>
      <w:r w:rsidRPr="0003206E">
        <w:rPr>
          <w:sz w:val="20"/>
        </w:rPr>
        <w:t>Seulement 1554 ont fini l’étude</w:t>
      </w:r>
    </w:p>
    <w:p w:rsidR="0003206E" w:rsidRDefault="0003206E" w:rsidP="0003206E">
      <w:pPr>
        <w:pStyle w:val="NoSpacing"/>
        <w:numPr>
          <w:ilvl w:val="2"/>
          <w:numId w:val="14"/>
        </w:numPr>
        <w:rPr>
          <w:sz w:val="20"/>
        </w:rPr>
      </w:pPr>
      <w:r w:rsidRPr="0003206E">
        <w:rPr>
          <w:sz w:val="20"/>
        </w:rPr>
        <w:t>A 1 an perte &gt; 5% du poids corporel pour 47.7 (lorcaserine) et 20.3% groupe (placebo)</w:t>
      </w:r>
    </w:p>
    <w:p w:rsidR="0003206E" w:rsidRPr="0003206E" w:rsidRDefault="0003206E" w:rsidP="0003206E">
      <w:pPr>
        <w:pStyle w:val="NoSpacing"/>
        <w:numPr>
          <w:ilvl w:val="1"/>
          <w:numId w:val="14"/>
        </w:numPr>
        <w:rPr>
          <w:b/>
          <w:sz w:val="20"/>
          <w:u w:val="single"/>
        </w:rPr>
      </w:pPr>
      <w:r w:rsidRPr="0003206E">
        <w:rPr>
          <w:b/>
          <w:sz w:val="20"/>
          <w:u w:val="single"/>
        </w:rPr>
        <w:t xml:space="preserve">EI fréquents </w:t>
      </w:r>
    </w:p>
    <w:p w:rsidR="0003206E" w:rsidRDefault="0003206E" w:rsidP="0003206E">
      <w:pPr>
        <w:pStyle w:val="NoSpacing"/>
        <w:numPr>
          <w:ilvl w:val="2"/>
          <w:numId w:val="14"/>
        </w:numPr>
        <w:rPr>
          <w:sz w:val="20"/>
        </w:rPr>
      </w:pPr>
      <w:r>
        <w:rPr>
          <w:sz w:val="20"/>
        </w:rPr>
        <w:t>Céphalées, vertige, nausées</w:t>
      </w:r>
    </w:p>
    <w:p w:rsidR="0003206E" w:rsidRDefault="0003206E" w:rsidP="0003206E">
      <w:pPr>
        <w:pStyle w:val="NoSpacing"/>
        <w:numPr>
          <w:ilvl w:val="2"/>
          <w:numId w:val="14"/>
        </w:numPr>
        <w:rPr>
          <w:sz w:val="20"/>
        </w:rPr>
      </w:pPr>
      <w:r>
        <w:rPr>
          <w:sz w:val="20"/>
        </w:rPr>
        <w:t>Similaire dans les deux groupes</w:t>
      </w:r>
    </w:p>
    <w:p w:rsidR="0003206E" w:rsidRPr="0003206E" w:rsidRDefault="0003206E" w:rsidP="0003206E">
      <w:pPr>
        <w:pStyle w:val="NoSpacing"/>
        <w:tabs>
          <w:tab w:val="left" w:pos="5820"/>
        </w:tabs>
        <w:ind w:left="720"/>
        <w:rPr>
          <w:b/>
          <w:color w:val="C00000"/>
          <w:sz w:val="20"/>
        </w:rPr>
      </w:pPr>
      <w:r>
        <w:rPr>
          <w:b/>
          <w:color w:val="C00000"/>
          <w:sz w:val="20"/>
        </w:rPr>
        <w:t xml:space="preserve">→ </w:t>
      </w:r>
      <w:r w:rsidRPr="0003206E">
        <w:rPr>
          <w:b/>
          <w:color w:val="C00000"/>
          <w:sz w:val="20"/>
        </w:rPr>
        <w:t>NECESSITE D’ETUDES COMPLEMENTAIRES</w:t>
      </w:r>
      <w:r>
        <w:rPr>
          <w:b/>
          <w:color w:val="C00000"/>
          <w:sz w:val="20"/>
        </w:rPr>
        <w:t xml:space="preserve"> (risque de K pancréas/ Thyroïde)</w:t>
      </w:r>
    </w:p>
    <w:p w:rsidR="0003206E" w:rsidRPr="0003206E" w:rsidRDefault="0003206E" w:rsidP="0003206E">
      <w:pPr>
        <w:pStyle w:val="NoSpacing"/>
        <w:ind w:left="1800"/>
        <w:rPr>
          <w:sz w:val="20"/>
        </w:rPr>
      </w:pPr>
    </w:p>
    <w:p w:rsidR="0003206E" w:rsidRDefault="0003206E" w:rsidP="0003206E">
      <w:pPr>
        <w:pStyle w:val="NoSpacing"/>
        <w:numPr>
          <w:ilvl w:val="0"/>
          <w:numId w:val="14"/>
        </w:numPr>
        <w:rPr>
          <w:b/>
          <w:sz w:val="20"/>
        </w:rPr>
      </w:pPr>
      <w:r>
        <w:rPr>
          <w:b/>
          <w:sz w:val="20"/>
        </w:rPr>
        <w:t>Victoza (liraglutide)</w:t>
      </w:r>
    </w:p>
    <w:p w:rsidR="007C340E" w:rsidRPr="007C340E" w:rsidRDefault="007C340E" w:rsidP="007C340E">
      <w:pPr>
        <w:pStyle w:val="NoSpacing"/>
        <w:numPr>
          <w:ilvl w:val="1"/>
          <w:numId w:val="14"/>
        </w:numPr>
        <w:rPr>
          <w:b/>
          <w:sz w:val="20"/>
        </w:rPr>
      </w:pPr>
      <w:r>
        <w:rPr>
          <w:sz w:val="20"/>
        </w:rPr>
        <w:t xml:space="preserve">Antidiabétique </w:t>
      </w:r>
    </w:p>
    <w:p w:rsidR="007C340E" w:rsidRPr="007C340E" w:rsidRDefault="007C340E" w:rsidP="007C340E">
      <w:pPr>
        <w:pStyle w:val="NoSpacing"/>
        <w:numPr>
          <w:ilvl w:val="1"/>
          <w:numId w:val="14"/>
        </w:numPr>
        <w:rPr>
          <w:b/>
          <w:sz w:val="20"/>
        </w:rPr>
      </w:pPr>
      <w:r>
        <w:rPr>
          <w:sz w:val="20"/>
        </w:rPr>
        <w:t xml:space="preserve">Analogue des incrétines </w:t>
      </w:r>
    </w:p>
    <w:p w:rsidR="007C340E" w:rsidRPr="007C340E" w:rsidRDefault="007C340E" w:rsidP="007C340E">
      <w:pPr>
        <w:pStyle w:val="NoSpacing"/>
        <w:numPr>
          <w:ilvl w:val="1"/>
          <w:numId w:val="14"/>
        </w:numPr>
        <w:rPr>
          <w:b/>
          <w:sz w:val="20"/>
        </w:rPr>
      </w:pPr>
      <w:r w:rsidRPr="007C340E">
        <w:rPr>
          <w:b/>
          <w:sz w:val="20"/>
        </w:rPr>
        <w:t>Sites d’action</w:t>
      </w:r>
      <w:r>
        <w:rPr>
          <w:sz w:val="20"/>
        </w:rPr>
        <w:t xml:space="preserve"> : </w:t>
      </w:r>
    </w:p>
    <w:p w:rsidR="007C340E" w:rsidRPr="007C340E" w:rsidRDefault="007C340E" w:rsidP="007C340E">
      <w:pPr>
        <w:pStyle w:val="NoSpacing"/>
        <w:numPr>
          <w:ilvl w:val="2"/>
          <w:numId w:val="14"/>
        </w:numPr>
        <w:rPr>
          <w:b/>
          <w:sz w:val="20"/>
        </w:rPr>
      </w:pPr>
      <w:r w:rsidRPr="007C340E">
        <w:rPr>
          <w:sz w:val="20"/>
          <w:u w:val="single"/>
        </w:rPr>
        <w:t>Cerveau</w:t>
      </w:r>
      <w:r>
        <w:rPr>
          <w:sz w:val="20"/>
        </w:rPr>
        <w:t> : ↘ satiété</w:t>
      </w:r>
    </w:p>
    <w:p w:rsidR="007C340E" w:rsidRPr="007C340E" w:rsidRDefault="007C340E" w:rsidP="007C340E">
      <w:pPr>
        <w:pStyle w:val="NoSpacing"/>
        <w:numPr>
          <w:ilvl w:val="2"/>
          <w:numId w:val="14"/>
        </w:numPr>
        <w:rPr>
          <w:b/>
          <w:sz w:val="20"/>
        </w:rPr>
      </w:pPr>
      <w:r w:rsidRPr="007C340E">
        <w:rPr>
          <w:sz w:val="20"/>
          <w:u w:val="single"/>
        </w:rPr>
        <w:t>Estomac</w:t>
      </w:r>
      <w:r>
        <w:rPr>
          <w:sz w:val="20"/>
        </w:rPr>
        <w:t xml:space="preserve"> : ralentissement vidange gastrique </w:t>
      </w:r>
    </w:p>
    <w:p w:rsidR="007C340E" w:rsidRPr="007C340E" w:rsidRDefault="007C340E" w:rsidP="007C340E">
      <w:pPr>
        <w:pStyle w:val="NoSpacing"/>
        <w:numPr>
          <w:ilvl w:val="2"/>
          <w:numId w:val="14"/>
        </w:numPr>
        <w:rPr>
          <w:b/>
          <w:sz w:val="20"/>
        </w:rPr>
      </w:pPr>
      <w:r w:rsidRPr="007C340E">
        <w:rPr>
          <w:sz w:val="20"/>
          <w:u w:val="single"/>
        </w:rPr>
        <w:t>Pancréas</w:t>
      </w:r>
      <w:r>
        <w:rPr>
          <w:sz w:val="20"/>
        </w:rPr>
        <w:t xml:space="preserve"> : </w:t>
      </w:r>
      <w:r>
        <w:rPr>
          <w:rFonts w:ascii="Calibri" w:eastAsiaTheme="minorEastAsia" w:hAnsi="Calibri"/>
          <w:sz w:val="20"/>
          <w:lang w:eastAsia="zh-TW"/>
        </w:rPr>
        <w:t>↗</w:t>
      </w:r>
      <w:r>
        <w:rPr>
          <w:rFonts w:eastAsiaTheme="minorEastAsia" w:hint="eastAsia"/>
          <w:sz w:val="20"/>
          <w:lang w:eastAsia="zh-TW"/>
        </w:rPr>
        <w:t xml:space="preserve"> </w:t>
      </w:r>
      <w:r>
        <w:rPr>
          <w:rFonts w:eastAsiaTheme="minorEastAsia"/>
          <w:sz w:val="20"/>
          <w:lang w:eastAsia="zh-TW"/>
        </w:rPr>
        <w:t xml:space="preserve">sécrétion insuline / ↘ sécrétion glucose </w:t>
      </w:r>
    </w:p>
    <w:p w:rsidR="007C340E" w:rsidRPr="007C340E" w:rsidRDefault="007C340E" w:rsidP="007C340E">
      <w:pPr>
        <w:pStyle w:val="NoSpacing"/>
        <w:numPr>
          <w:ilvl w:val="2"/>
          <w:numId w:val="14"/>
        </w:numPr>
        <w:rPr>
          <w:b/>
          <w:sz w:val="20"/>
        </w:rPr>
      </w:pPr>
      <w:r w:rsidRPr="007C340E">
        <w:rPr>
          <w:rFonts w:eastAsiaTheme="minorEastAsia"/>
          <w:sz w:val="20"/>
          <w:u w:val="single"/>
          <w:lang w:eastAsia="zh-TW"/>
        </w:rPr>
        <w:t>Foie</w:t>
      </w:r>
      <w:r>
        <w:rPr>
          <w:rFonts w:eastAsiaTheme="minorEastAsia"/>
          <w:sz w:val="20"/>
          <w:lang w:eastAsia="zh-TW"/>
        </w:rPr>
        <w:t> : ↘ production glucose</w:t>
      </w:r>
    </w:p>
    <w:p w:rsidR="007C340E" w:rsidRDefault="007C340E" w:rsidP="007C340E">
      <w:pPr>
        <w:pStyle w:val="NoSpacing"/>
        <w:numPr>
          <w:ilvl w:val="1"/>
          <w:numId w:val="14"/>
        </w:numPr>
        <w:rPr>
          <w:b/>
          <w:sz w:val="20"/>
        </w:rPr>
      </w:pPr>
      <w:r>
        <w:rPr>
          <w:b/>
          <w:sz w:val="20"/>
        </w:rPr>
        <w:t xml:space="preserve">EI : </w:t>
      </w:r>
    </w:p>
    <w:p w:rsidR="007C340E" w:rsidRPr="007C340E" w:rsidRDefault="007C340E" w:rsidP="007C340E">
      <w:pPr>
        <w:pStyle w:val="NoSpacing"/>
        <w:numPr>
          <w:ilvl w:val="2"/>
          <w:numId w:val="14"/>
        </w:numPr>
        <w:rPr>
          <w:b/>
          <w:sz w:val="20"/>
        </w:rPr>
      </w:pPr>
      <w:r>
        <w:rPr>
          <w:sz w:val="20"/>
        </w:rPr>
        <w:t xml:space="preserve">Pancréatite aiguë </w:t>
      </w:r>
    </w:p>
    <w:p w:rsidR="007C340E" w:rsidRPr="007C340E" w:rsidRDefault="007C340E" w:rsidP="007C340E">
      <w:pPr>
        <w:pStyle w:val="NoSpacing"/>
        <w:numPr>
          <w:ilvl w:val="2"/>
          <w:numId w:val="14"/>
        </w:numPr>
        <w:rPr>
          <w:b/>
          <w:sz w:val="20"/>
        </w:rPr>
      </w:pPr>
      <w:r>
        <w:rPr>
          <w:sz w:val="20"/>
        </w:rPr>
        <w:t xml:space="preserve">Troubles thyroïdiens </w:t>
      </w:r>
    </w:p>
    <w:p w:rsidR="007C340E" w:rsidRPr="007C340E" w:rsidRDefault="007C340E" w:rsidP="007C340E">
      <w:pPr>
        <w:pStyle w:val="NoSpacing"/>
        <w:numPr>
          <w:ilvl w:val="2"/>
          <w:numId w:val="14"/>
        </w:numPr>
        <w:rPr>
          <w:b/>
          <w:sz w:val="20"/>
        </w:rPr>
      </w:pPr>
      <w:r>
        <w:rPr>
          <w:sz w:val="20"/>
        </w:rPr>
        <w:t xml:space="preserve">Perte de poids </w:t>
      </w:r>
    </w:p>
    <w:p w:rsidR="007C340E" w:rsidRPr="007C340E" w:rsidRDefault="007C340E" w:rsidP="007C340E">
      <w:pPr>
        <w:pStyle w:val="NoSpacing"/>
        <w:numPr>
          <w:ilvl w:val="2"/>
          <w:numId w:val="14"/>
        </w:numPr>
        <w:rPr>
          <w:b/>
          <w:sz w:val="20"/>
        </w:rPr>
      </w:pPr>
      <w:r>
        <w:rPr>
          <w:sz w:val="20"/>
        </w:rPr>
        <w:t>…</w:t>
      </w:r>
    </w:p>
    <w:p w:rsidR="007C340E" w:rsidRPr="007C340E" w:rsidRDefault="007C340E" w:rsidP="007C340E">
      <w:pPr>
        <w:pStyle w:val="NoSpacing"/>
        <w:numPr>
          <w:ilvl w:val="1"/>
          <w:numId w:val="14"/>
        </w:numPr>
        <w:rPr>
          <w:b/>
          <w:sz w:val="20"/>
        </w:rPr>
      </w:pPr>
      <w:r w:rsidRPr="007C340E">
        <w:rPr>
          <w:b/>
          <w:sz w:val="20"/>
        </w:rPr>
        <w:t>AVANTAGE CONTRE LE MESUSAGE : ADMINISTRATION EN SC</w:t>
      </w:r>
    </w:p>
    <w:p w:rsidR="007C340E" w:rsidRDefault="007C340E" w:rsidP="007C340E">
      <w:pPr>
        <w:pStyle w:val="NoSpacing"/>
        <w:rPr>
          <w:b/>
          <w:sz w:val="20"/>
        </w:rPr>
      </w:pPr>
    </w:p>
    <w:p w:rsidR="007C340E" w:rsidRDefault="007C340E" w:rsidP="007C340E">
      <w:pPr>
        <w:pStyle w:val="NoSpacing"/>
        <w:rPr>
          <w:b/>
          <w:sz w:val="20"/>
        </w:rPr>
      </w:pPr>
      <w:r>
        <w:rPr>
          <w:b/>
          <w:sz w:val="20"/>
        </w:rPr>
        <w:t>Attention  aux achats de médicaments sur internet !!!</w:t>
      </w:r>
    </w:p>
    <w:p w:rsidR="007C340E" w:rsidRDefault="007C340E" w:rsidP="007C340E">
      <w:pPr>
        <w:pStyle w:val="NoSpacing"/>
        <w:rPr>
          <w:b/>
          <w:sz w:val="20"/>
        </w:rPr>
      </w:pPr>
    </w:p>
    <w:p w:rsidR="007C340E" w:rsidRPr="007C340E" w:rsidRDefault="007C340E" w:rsidP="007C340E">
      <w:pPr>
        <w:pStyle w:val="NoSpacing"/>
        <w:numPr>
          <w:ilvl w:val="0"/>
          <w:numId w:val="11"/>
        </w:numPr>
        <w:rPr>
          <w:b/>
          <w:color w:val="C00000"/>
        </w:rPr>
      </w:pPr>
      <w:r w:rsidRPr="007C340E">
        <w:rPr>
          <w:b/>
          <w:color w:val="C00000"/>
        </w:rPr>
        <w:t>Conclusion</w:t>
      </w:r>
    </w:p>
    <w:p w:rsidR="0025716B" w:rsidRDefault="007C340E" w:rsidP="007C340E">
      <w:pPr>
        <w:pStyle w:val="NoSpacing"/>
        <w:numPr>
          <w:ilvl w:val="0"/>
          <w:numId w:val="14"/>
        </w:numPr>
        <w:rPr>
          <w:sz w:val="20"/>
        </w:rPr>
      </w:pPr>
      <w:r>
        <w:rPr>
          <w:sz w:val="20"/>
        </w:rPr>
        <w:t>De nombreux médicaments retirés du marché du fait de graves EI.</w:t>
      </w:r>
    </w:p>
    <w:p w:rsidR="007C340E" w:rsidRDefault="007C340E" w:rsidP="007C340E">
      <w:pPr>
        <w:pStyle w:val="NoSpacing"/>
        <w:numPr>
          <w:ilvl w:val="0"/>
          <w:numId w:val="14"/>
        </w:numPr>
        <w:rPr>
          <w:sz w:val="20"/>
        </w:rPr>
      </w:pPr>
      <w:r>
        <w:rPr>
          <w:sz w:val="20"/>
        </w:rPr>
        <w:t>Une recherche permanente d’alternatives thérapeutiques (USA +++)</w:t>
      </w:r>
    </w:p>
    <w:p w:rsidR="007C340E" w:rsidRDefault="007C340E" w:rsidP="007C340E">
      <w:pPr>
        <w:pStyle w:val="NoSpacing"/>
        <w:numPr>
          <w:ilvl w:val="0"/>
          <w:numId w:val="14"/>
        </w:numPr>
        <w:rPr>
          <w:sz w:val="20"/>
        </w:rPr>
      </w:pPr>
      <w:r>
        <w:rPr>
          <w:sz w:val="20"/>
        </w:rPr>
        <w:t>Tout TTT contre l’obésité ou le surpoids doit être instauré en concomitance avec un suivi régulier et multidisciplinaire.</w:t>
      </w:r>
    </w:p>
    <w:p w:rsidR="007C340E" w:rsidRPr="00B721D7" w:rsidRDefault="007C340E" w:rsidP="007C340E">
      <w:pPr>
        <w:pStyle w:val="NoSpacing"/>
        <w:numPr>
          <w:ilvl w:val="0"/>
          <w:numId w:val="14"/>
        </w:numPr>
        <w:rPr>
          <w:sz w:val="20"/>
        </w:rPr>
      </w:pPr>
      <w:r>
        <w:rPr>
          <w:sz w:val="20"/>
        </w:rPr>
        <w:t>Par ailleurs,  pas d’efficacité de l’homéopathie, des suppléments alimentaires, de l’acuponcture, de l’hypnose.</w:t>
      </w:r>
    </w:p>
    <w:sectPr w:rsidR="007C340E" w:rsidRPr="00B721D7" w:rsidSect="00B721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85" w:rsidRDefault="00103F85" w:rsidP="00B721D7">
      <w:pPr>
        <w:spacing w:after="0" w:line="240" w:lineRule="auto"/>
      </w:pPr>
      <w:r>
        <w:separator/>
      </w:r>
    </w:p>
  </w:endnote>
  <w:endnote w:type="continuationSeparator" w:id="0">
    <w:p w:rsidR="00103F85" w:rsidRDefault="00103F85" w:rsidP="00B7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B0" w:rsidRPr="00B721D7" w:rsidRDefault="00FD10B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85" w:rsidRDefault="00103F85" w:rsidP="00B721D7">
      <w:pPr>
        <w:spacing w:after="0" w:line="240" w:lineRule="auto"/>
      </w:pPr>
      <w:r>
        <w:separator/>
      </w:r>
    </w:p>
  </w:footnote>
  <w:footnote w:type="continuationSeparator" w:id="0">
    <w:p w:rsidR="00103F85" w:rsidRDefault="00103F85" w:rsidP="00B72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6BC"/>
    <w:multiLevelType w:val="hybridMultilevel"/>
    <w:tmpl w:val="81C27C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B56F15"/>
    <w:multiLevelType w:val="hybridMultilevel"/>
    <w:tmpl w:val="7DB40A16"/>
    <w:lvl w:ilvl="0" w:tplc="69507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26E9A"/>
    <w:multiLevelType w:val="hybridMultilevel"/>
    <w:tmpl w:val="91B681A2"/>
    <w:lvl w:ilvl="0" w:tplc="69507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7A5211"/>
    <w:multiLevelType w:val="hybridMultilevel"/>
    <w:tmpl w:val="57DACBCA"/>
    <w:lvl w:ilvl="0" w:tplc="63DC68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35D59"/>
    <w:multiLevelType w:val="hybridMultilevel"/>
    <w:tmpl w:val="1AB6F65A"/>
    <w:lvl w:ilvl="0" w:tplc="63DC68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BF467F"/>
    <w:multiLevelType w:val="hybridMultilevel"/>
    <w:tmpl w:val="B0961F7E"/>
    <w:lvl w:ilvl="0" w:tplc="69507ABA">
      <w:start w:val="1"/>
      <w:numFmt w:val="bullet"/>
      <w:lvlText w:val=""/>
      <w:lvlJc w:val="left"/>
      <w:pPr>
        <w:ind w:left="720" w:hanging="360"/>
      </w:pPr>
      <w:rPr>
        <w:rFonts w:ascii="Symbol" w:hAnsi="Symbol" w:hint="default"/>
      </w:rPr>
    </w:lvl>
    <w:lvl w:ilvl="1" w:tplc="AEDCC46C">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66DBE"/>
    <w:multiLevelType w:val="hybridMultilevel"/>
    <w:tmpl w:val="4AB2FBB2"/>
    <w:lvl w:ilvl="0" w:tplc="89B6AFCC">
      <w:start w:val="1"/>
      <w:numFmt w:val="upperRoman"/>
      <w:lvlText w:val="%1."/>
      <w:lvlJc w:val="right"/>
      <w:pPr>
        <w:ind w:left="360" w:hanging="360"/>
      </w:pPr>
      <w:rPr>
        <w:b/>
        <w:color w:val="C0000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A109D4"/>
    <w:multiLevelType w:val="hybridMultilevel"/>
    <w:tmpl w:val="4A1A3C76"/>
    <w:lvl w:ilvl="0" w:tplc="69507ABA">
      <w:start w:val="1"/>
      <w:numFmt w:val="bullet"/>
      <w:lvlText w:val=""/>
      <w:lvlJc w:val="left"/>
      <w:pPr>
        <w:ind w:left="720" w:hanging="360"/>
      </w:pPr>
      <w:rPr>
        <w:rFonts w:ascii="Symbol" w:hAnsi="Symbol" w:hint="default"/>
      </w:rPr>
    </w:lvl>
    <w:lvl w:ilvl="1" w:tplc="D23E24B0">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F41EF2"/>
    <w:multiLevelType w:val="hybridMultilevel"/>
    <w:tmpl w:val="C066ACC2"/>
    <w:lvl w:ilvl="0" w:tplc="63DC68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6E2EB2"/>
    <w:multiLevelType w:val="hybridMultilevel"/>
    <w:tmpl w:val="44E2F51E"/>
    <w:lvl w:ilvl="0" w:tplc="69507A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3F58A8"/>
    <w:multiLevelType w:val="hybridMultilevel"/>
    <w:tmpl w:val="E080399E"/>
    <w:lvl w:ilvl="0" w:tplc="63DC68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98A3228"/>
    <w:multiLevelType w:val="hybridMultilevel"/>
    <w:tmpl w:val="DE446EE6"/>
    <w:lvl w:ilvl="0" w:tplc="040C0001">
      <w:start w:val="1"/>
      <w:numFmt w:val="bullet"/>
      <w:lvlText w:val=""/>
      <w:lvlJc w:val="left"/>
      <w:pPr>
        <w:ind w:left="6540" w:hanging="360"/>
      </w:pPr>
      <w:rPr>
        <w:rFonts w:ascii="Symbol" w:hAnsi="Symbol" w:hint="default"/>
      </w:rPr>
    </w:lvl>
    <w:lvl w:ilvl="1" w:tplc="040C0003" w:tentative="1">
      <w:start w:val="1"/>
      <w:numFmt w:val="bullet"/>
      <w:lvlText w:val="o"/>
      <w:lvlJc w:val="left"/>
      <w:pPr>
        <w:ind w:left="7260" w:hanging="360"/>
      </w:pPr>
      <w:rPr>
        <w:rFonts w:ascii="Courier New" w:hAnsi="Courier New" w:cs="Courier New" w:hint="default"/>
      </w:rPr>
    </w:lvl>
    <w:lvl w:ilvl="2" w:tplc="040C0005" w:tentative="1">
      <w:start w:val="1"/>
      <w:numFmt w:val="bullet"/>
      <w:lvlText w:val=""/>
      <w:lvlJc w:val="left"/>
      <w:pPr>
        <w:ind w:left="7980" w:hanging="360"/>
      </w:pPr>
      <w:rPr>
        <w:rFonts w:ascii="Wingdings" w:hAnsi="Wingdings" w:hint="default"/>
      </w:rPr>
    </w:lvl>
    <w:lvl w:ilvl="3" w:tplc="040C0001" w:tentative="1">
      <w:start w:val="1"/>
      <w:numFmt w:val="bullet"/>
      <w:lvlText w:val=""/>
      <w:lvlJc w:val="left"/>
      <w:pPr>
        <w:ind w:left="8700" w:hanging="360"/>
      </w:pPr>
      <w:rPr>
        <w:rFonts w:ascii="Symbol" w:hAnsi="Symbol" w:hint="default"/>
      </w:rPr>
    </w:lvl>
    <w:lvl w:ilvl="4" w:tplc="040C0003" w:tentative="1">
      <w:start w:val="1"/>
      <w:numFmt w:val="bullet"/>
      <w:lvlText w:val="o"/>
      <w:lvlJc w:val="left"/>
      <w:pPr>
        <w:ind w:left="9420" w:hanging="360"/>
      </w:pPr>
      <w:rPr>
        <w:rFonts w:ascii="Courier New" w:hAnsi="Courier New" w:cs="Courier New" w:hint="default"/>
      </w:rPr>
    </w:lvl>
    <w:lvl w:ilvl="5" w:tplc="040C0005" w:tentative="1">
      <w:start w:val="1"/>
      <w:numFmt w:val="bullet"/>
      <w:lvlText w:val=""/>
      <w:lvlJc w:val="left"/>
      <w:pPr>
        <w:ind w:left="10140" w:hanging="360"/>
      </w:pPr>
      <w:rPr>
        <w:rFonts w:ascii="Wingdings" w:hAnsi="Wingdings" w:hint="default"/>
      </w:rPr>
    </w:lvl>
    <w:lvl w:ilvl="6" w:tplc="040C0001" w:tentative="1">
      <w:start w:val="1"/>
      <w:numFmt w:val="bullet"/>
      <w:lvlText w:val=""/>
      <w:lvlJc w:val="left"/>
      <w:pPr>
        <w:ind w:left="10860" w:hanging="360"/>
      </w:pPr>
      <w:rPr>
        <w:rFonts w:ascii="Symbol" w:hAnsi="Symbol" w:hint="default"/>
      </w:rPr>
    </w:lvl>
    <w:lvl w:ilvl="7" w:tplc="040C0003" w:tentative="1">
      <w:start w:val="1"/>
      <w:numFmt w:val="bullet"/>
      <w:lvlText w:val="o"/>
      <w:lvlJc w:val="left"/>
      <w:pPr>
        <w:ind w:left="11580" w:hanging="360"/>
      </w:pPr>
      <w:rPr>
        <w:rFonts w:ascii="Courier New" w:hAnsi="Courier New" w:cs="Courier New" w:hint="default"/>
      </w:rPr>
    </w:lvl>
    <w:lvl w:ilvl="8" w:tplc="040C0005" w:tentative="1">
      <w:start w:val="1"/>
      <w:numFmt w:val="bullet"/>
      <w:lvlText w:val=""/>
      <w:lvlJc w:val="left"/>
      <w:pPr>
        <w:ind w:left="12300" w:hanging="360"/>
      </w:pPr>
      <w:rPr>
        <w:rFonts w:ascii="Wingdings" w:hAnsi="Wingdings" w:hint="default"/>
      </w:rPr>
    </w:lvl>
  </w:abstractNum>
  <w:abstractNum w:abstractNumId="12">
    <w:nsid w:val="6BA26D2D"/>
    <w:multiLevelType w:val="hybridMultilevel"/>
    <w:tmpl w:val="710A1B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CD00580"/>
    <w:multiLevelType w:val="hybridMultilevel"/>
    <w:tmpl w:val="9F5C0E06"/>
    <w:lvl w:ilvl="0" w:tplc="63DC68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
  </w:num>
  <w:num w:numId="6">
    <w:abstractNumId w:val="5"/>
  </w:num>
  <w:num w:numId="7">
    <w:abstractNumId w:val="7"/>
  </w:num>
  <w:num w:numId="8">
    <w:abstractNumId w:val="11"/>
  </w:num>
  <w:num w:numId="9">
    <w:abstractNumId w:val="4"/>
  </w:num>
  <w:num w:numId="10">
    <w:abstractNumId w:val="3"/>
  </w:num>
  <w:num w:numId="11">
    <w:abstractNumId w:val="0"/>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21D7"/>
    <w:rsid w:val="0003206E"/>
    <w:rsid w:val="00103F85"/>
    <w:rsid w:val="001D036B"/>
    <w:rsid w:val="0025716B"/>
    <w:rsid w:val="003D68CD"/>
    <w:rsid w:val="005047FE"/>
    <w:rsid w:val="00702747"/>
    <w:rsid w:val="00781F81"/>
    <w:rsid w:val="007C340E"/>
    <w:rsid w:val="00817C67"/>
    <w:rsid w:val="009745E7"/>
    <w:rsid w:val="009F578A"/>
    <w:rsid w:val="00A8385A"/>
    <w:rsid w:val="00AC0747"/>
    <w:rsid w:val="00B721D7"/>
    <w:rsid w:val="00BA6720"/>
    <w:rsid w:val="00BD0C45"/>
    <w:rsid w:val="00C248D3"/>
    <w:rsid w:val="00CC4A51"/>
    <w:rsid w:val="00D10F2E"/>
    <w:rsid w:val="00FC3B6A"/>
    <w:rsid w:val="00FD10B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1D7"/>
    <w:pPr>
      <w:spacing w:after="0" w:line="240" w:lineRule="auto"/>
    </w:pPr>
  </w:style>
  <w:style w:type="paragraph" w:styleId="Header">
    <w:name w:val="header"/>
    <w:basedOn w:val="Normal"/>
    <w:link w:val="HeaderChar"/>
    <w:uiPriority w:val="99"/>
    <w:unhideWhenUsed/>
    <w:rsid w:val="00B721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1D7"/>
  </w:style>
  <w:style w:type="paragraph" w:styleId="Footer">
    <w:name w:val="footer"/>
    <w:basedOn w:val="Normal"/>
    <w:link w:val="FooterChar"/>
    <w:uiPriority w:val="99"/>
    <w:unhideWhenUsed/>
    <w:rsid w:val="00B721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1D7"/>
  </w:style>
  <w:style w:type="paragraph" w:styleId="ListParagraph">
    <w:name w:val="List Paragraph"/>
    <w:basedOn w:val="Normal"/>
    <w:uiPriority w:val="34"/>
    <w:qFormat/>
    <w:rsid w:val="00AC0747"/>
    <w:pPr>
      <w:ind w:left="720"/>
      <w:contextualSpacing/>
    </w:pPr>
  </w:style>
  <w:style w:type="table" w:styleId="TableGrid">
    <w:name w:val="Table Grid"/>
    <w:basedOn w:val="TableNormal"/>
    <w:uiPriority w:val="59"/>
    <w:rsid w:val="00CC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0300">
      <w:bodyDiv w:val="1"/>
      <w:marLeft w:val="0"/>
      <w:marRight w:val="0"/>
      <w:marTop w:val="0"/>
      <w:marBottom w:val="0"/>
      <w:divBdr>
        <w:top w:val="none" w:sz="0" w:space="0" w:color="auto"/>
        <w:left w:val="none" w:sz="0" w:space="0" w:color="auto"/>
        <w:bottom w:val="none" w:sz="0" w:space="0" w:color="auto"/>
        <w:right w:val="none" w:sz="0" w:space="0" w:color="auto"/>
      </w:divBdr>
    </w:div>
    <w:div w:id="6596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1687</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cp:lastPrinted>2013-04-14T12:09:00Z</cp:lastPrinted>
  <dcterms:created xsi:type="dcterms:W3CDTF">2013-04-14T12:13:00Z</dcterms:created>
  <dcterms:modified xsi:type="dcterms:W3CDTF">2015-09-22T16:55:00Z</dcterms:modified>
</cp:coreProperties>
</file>