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C" w:rsidRPr="005A7770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FG+TimesNewRoman,Bold" w:hAnsi="FELJFG+TimesNewRoman,Bold" w:cs="FELJFG+TimesNewRoman,Bold"/>
          <w:color w:val="000000"/>
          <w:sz w:val="24"/>
          <w:szCs w:val="24"/>
          <w:u w:val="single"/>
        </w:rPr>
      </w:pPr>
    </w:p>
    <w:p w:rsidR="00013C2C" w:rsidRPr="005A7770" w:rsidRDefault="00013C2C" w:rsidP="00013C2C">
      <w:pPr>
        <w:autoSpaceDE w:val="0"/>
        <w:autoSpaceDN w:val="0"/>
        <w:adjustRightInd w:val="0"/>
        <w:spacing w:after="0" w:line="240" w:lineRule="auto"/>
        <w:jc w:val="center"/>
        <w:rPr>
          <w:rFonts w:ascii="FELJFG+TimesNewRoman,Bold" w:hAnsi="FELJFG+TimesNewRoman,Bold" w:cs="FELJFG+TimesNewRoman,Bold"/>
          <w:b/>
          <w:bCs/>
          <w:color w:val="000000"/>
          <w:sz w:val="28"/>
          <w:szCs w:val="28"/>
          <w:u w:val="single"/>
        </w:rPr>
      </w:pPr>
      <w:r w:rsidRPr="005A7770">
        <w:rPr>
          <w:rFonts w:ascii="FELJFG+TimesNewRoman,Bold" w:hAnsi="FELJFG+TimesNewRoman,Bold"/>
          <w:color w:val="7030A0"/>
          <w:sz w:val="24"/>
          <w:szCs w:val="24"/>
          <w:u w:val="single"/>
        </w:rPr>
        <w:t xml:space="preserve"> </w:t>
      </w:r>
      <w:r w:rsidRPr="005A7770">
        <w:rPr>
          <w:rFonts w:ascii="FELJFG+TimesNewRoman,Bold" w:hAnsi="FELJFG+TimesNewRoman,Bold" w:cs="FELJFG+TimesNewRoman,Bold"/>
          <w:b/>
          <w:bCs/>
          <w:color w:val="7030A0"/>
          <w:sz w:val="28"/>
          <w:szCs w:val="28"/>
          <w:u w:val="single"/>
        </w:rPr>
        <w:t xml:space="preserve">METHODES EN GEOSCIENCES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jc w:val="center"/>
        <w:rPr>
          <w:rFonts w:ascii="FELJFG+TimesNewRoman,Bold" w:hAnsi="FELJFG+TimesNewRoman,Bold" w:cs="FELJFG+TimesNewRoman,Bold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I : Méthodes d’études sédimentologies </w:t>
      </w: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ind w:firstLine="360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1 - Notes de terrain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ind w:firstLine="360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Date et heure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Localisation des prélèvements (longitude, latitude, profondeur …)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Type d’environnement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Description du site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firstLine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2 - Photographie et/ou croquis </w:t>
      </w: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3 - Prélèvements d’échantillons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A partir d’un affleurement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A partir de sédiments Carottes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234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- Milieux marins profonds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234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- Milieux côtiers, lacustres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4 - Description des carottes (ou des prélèvements)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Les différentes successions lithologiques du haut vers le bas.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Description des structures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Description des fossiles (identification, nombres, taille, position, entier/fragment …)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Description des textures (SVT en Laboratoire)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234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- Taille des grains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234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- Forme des grains (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morphoscopie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5 - Prélèvement d’échantillons au sein de la carotte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Déterminer le pas d’échantillonnage (dépend de la résolution que l’on veut)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Définir une échelle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6 - Analyses granulométriques </w:t>
      </w: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>a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 : Traitement en laboratoire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Lavage par voie humide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LP+TimesNewRoman,Italic" w:hAnsi="FELJLP+TimesNewRoman,Italic" w:cs="FELJLP+TimesNewRoman,Italic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But : Séparer les </w:t>
      </w:r>
      <w:proofErr w:type="spellStart"/>
      <w:r w:rsidRPr="00013C2C">
        <w:rPr>
          <w:rFonts w:ascii="FELJLP+TimesNewRoman,Italic" w:hAnsi="FELJLP+TimesNewRoman,Italic" w:cs="FELJLP+TimesNewRoman,Italic"/>
          <w:color w:val="000000"/>
          <w:sz w:val="28"/>
          <w:szCs w:val="28"/>
        </w:rPr>
        <w:t>pélites</w:t>
      </w:r>
      <w:proofErr w:type="spellEnd"/>
      <w:r w:rsidRPr="00013C2C">
        <w:rPr>
          <w:rFonts w:ascii="FELJLP+TimesNewRoman,Italic" w:hAnsi="FELJLP+TimesNewRoman,Italic" w:cs="FELJLP+TimesNewRoman,Italic"/>
          <w:color w:val="000000"/>
          <w:sz w:val="28"/>
          <w:szCs w:val="28"/>
        </w:rPr>
        <w:t xml:space="preserve">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des </w:t>
      </w:r>
      <w:r w:rsidRPr="00013C2C">
        <w:rPr>
          <w:rFonts w:ascii="FELJLP+TimesNewRoman,Italic" w:hAnsi="FELJLP+TimesNewRoman,Italic" w:cs="FELJLP+TimesNewRoman,Italic"/>
          <w:color w:val="000000"/>
          <w:sz w:val="28"/>
          <w:szCs w:val="28"/>
        </w:rPr>
        <w:t xml:space="preserve">arénites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et des </w:t>
      </w:r>
      <w:proofErr w:type="spellStart"/>
      <w:r w:rsidRPr="00013C2C">
        <w:rPr>
          <w:rFonts w:ascii="FELJLP+TimesNewRoman,Italic" w:hAnsi="FELJLP+TimesNewRoman,Italic" w:cs="FELJLP+TimesNewRoman,Italic"/>
          <w:color w:val="000000"/>
          <w:sz w:val="28"/>
          <w:szCs w:val="28"/>
        </w:rPr>
        <w:t>rudites</w:t>
      </w:r>
      <w:proofErr w:type="spellEnd"/>
      <w:r w:rsidRPr="00013C2C">
        <w:rPr>
          <w:rFonts w:ascii="FELJLP+TimesNewRoman,Italic" w:hAnsi="FELJLP+TimesNewRoman,Italic" w:cs="FELJLP+TimesNewRoman,Italic"/>
          <w:color w:val="000000"/>
          <w:sz w:val="28"/>
          <w:szCs w:val="28"/>
        </w:rPr>
        <w:t xml:space="preserve">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On obtient ainsi deux fractions différentes. </w:t>
      </w:r>
    </w:p>
    <w:p w:rsidR="00013C2C" w:rsidRPr="00013C2C" w:rsidRDefault="00013C2C" w:rsidP="00013C2C">
      <w:pPr>
        <w:pageBreakBefore/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Fraction &lt; 63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μm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Méthode de l’estimation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Méthode de décantation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Granulométrie laser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Fraction &gt; 63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μm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Colonne de tamis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LP+TimesNewRoman,Italic" w:hAnsi="FELJLP+TimesNewRoman,Italic" w:cs="FELJLP+TimesNewRoman,Italic"/>
          <w:color w:val="000000"/>
          <w:sz w:val="28"/>
          <w:szCs w:val="28"/>
        </w:rPr>
      </w:pPr>
      <w:r w:rsidRPr="00013C2C">
        <w:rPr>
          <w:rFonts w:ascii="FELJLP+TimesNewRoman,Italic" w:hAnsi="FELJLP+TimesNewRoman,Italic" w:cs="FELJLP+TimesNewRoman,Italic"/>
          <w:color w:val="000000"/>
          <w:sz w:val="28"/>
          <w:szCs w:val="28"/>
        </w:rPr>
        <w:t xml:space="preserve">Inconvénients : Agrégats des particules, obstruction ou endommagement des mailles, formation de particules …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Remarque :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A partir d’un affleurement Roches +/- consolidées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Attaque acide avant tamisage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A partir d’un forage Roche indurée.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Réalisation d’une lame mince.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>b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 : Traitements des données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Histogramme de fréquence / Courbe de fréquence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Différents modes : -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unimodal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une classe granulométrique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- bimodal deux classes granulométriques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Courbe cumulative : Cette méthode permet d’extraire un certain nombre de valeurs : le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PERCENTILES.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Ce classement se traduit par l’écart entre P25 et P75 (par exemple)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5A7770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  <w:lang w:val="en-US"/>
        </w:rPr>
      </w:pPr>
      <w:r w:rsidRPr="005A7770">
        <w:rPr>
          <w:rFonts w:ascii="FELJGM+TimesNewRoman" w:hAnsi="FELJGM+TimesNewRoman" w:cs="FELJGM+TimesNewRoman"/>
          <w:color w:val="000000"/>
          <w:sz w:val="28"/>
          <w:szCs w:val="28"/>
          <w:lang w:val="en-US"/>
        </w:rPr>
        <w:t xml:space="preserve">S0 = = </w:t>
      </w:r>
      <w:r w:rsidRPr="005A7770">
        <w:rPr>
          <w:rFonts w:ascii="FELJGM+TimesNewRoman" w:hAnsi="FELJGM+TimesNewRoman" w:cs="FELJGM+TimesNewRoman"/>
          <w:color w:val="000000"/>
          <w:sz w:val="28"/>
          <w:szCs w:val="28"/>
          <w:u w:val="single"/>
          <w:lang w:val="en-US"/>
        </w:rPr>
        <w:t xml:space="preserve">indice de TRACK </w:t>
      </w:r>
    </w:p>
    <w:p w:rsidR="00013C2C" w:rsidRPr="005A7770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  <w:lang w:val="en-US"/>
        </w:rPr>
      </w:pPr>
      <w:r w:rsidRPr="005A7770">
        <w:rPr>
          <w:rFonts w:ascii="FELJGM+TimesNewRoman" w:hAnsi="FELJGM+TimesNewRoman" w:cs="FELJGM+TimesNewRoman"/>
          <w:color w:val="000000"/>
          <w:sz w:val="28"/>
          <w:szCs w:val="28"/>
          <w:lang w:val="en-US"/>
        </w:rPr>
        <w:t xml:space="preserve">1&lt;S0&lt;1,2 : Homogène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1,2&lt;S0&lt;1,6 : Bien classé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1,6&lt;S0&lt;2 : Médiocre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S0&gt;2 : Hétérogène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Autre indice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: la déviation standard σ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σ = grain moyen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σ&lt;0,35 : très bien classé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0,35&lt;σ&lt;0,5 : Bien classé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0,50&lt;σ&lt;0,71 : Assez bien classé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0,71&lt;σ&lt;1 : Moyennement classé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1&lt;σ&lt;2 : Médiocrement classé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2&lt;σ&lt;4 : Très mal classé </w:t>
      </w:r>
    </w:p>
    <w:p w:rsidR="00013C2C" w:rsidRPr="00013C2C" w:rsidRDefault="00013C2C" w:rsidP="00013C2C">
      <w:pPr>
        <w:pageBreakBefore/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• Indice d’asymétrie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Cette asymétrie peut-être </w:t>
      </w: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quantifier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à l’aide des courbes cumulatives (le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Skewness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firstLine="180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Sk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= (P</w:t>
      </w:r>
      <w:r w:rsidRPr="00013C2C">
        <w:rPr>
          <w:rFonts w:ascii="FELJGM+TimesNewRoman" w:hAnsi="FELJGM+TimesNewRoman" w:cs="FELJGM+TimesNewRoman"/>
          <w:color w:val="000000"/>
          <w:sz w:val="16"/>
          <w:szCs w:val="16"/>
        </w:rPr>
        <w:t xml:space="preserve">25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x P</w:t>
      </w:r>
      <w:r w:rsidRPr="00013C2C">
        <w:rPr>
          <w:rFonts w:ascii="FELJGM+TimesNewRoman" w:hAnsi="FELJGM+TimesNewRoman" w:cs="FELJGM+TimesNewRoman"/>
          <w:color w:val="000000"/>
          <w:sz w:val="16"/>
          <w:szCs w:val="16"/>
        </w:rPr>
        <w:t>75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) / (P</w:t>
      </w:r>
      <w:r w:rsidRPr="00013C2C">
        <w:rPr>
          <w:rFonts w:ascii="FELJGM+TimesNewRoman" w:hAnsi="FELJGM+TimesNewRoman" w:cs="FELJGM+TimesNewRoman"/>
          <w:color w:val="000000"/>
          <w:sz w:val="16"/>
          <w:szCs w:val="16"/>
        </w:rPr>
        <w:t>50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)² = 1 Sommet de la courbe qui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correspond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avec le grain moyen.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&gt; 1 Maximum du côté fin = Asymétrie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jc w:val="center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positive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(+)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&lt; 1 Maximum du côté grossier = Asymétrie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jc w:val="center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négative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(-)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Le CENTILE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(grain le plus grossier) informe sur la vitesse maximum du courant. </w:t>
      </w: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>c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 : Interprétation dynamique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ind w:left="720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Courbe de fréquence bimodale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Le grain moyen donne une idée moyenne de la force du courant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Le centile donne une idée de la force maximum du courant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Le classement = mode de transport – durée du transport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L’asymétrie = condition de dépôts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7 -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>Morphoscopie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Définition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: La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morphoscopie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et l’examen de la forme des éléments détritiques, notamment les éléments tels que les galets et les grains de sable.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83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On met en évidence l’usure du sédiment Déduction de l’agent de transport (eau, vent …)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83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a – Les galets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Ils sont caractérisés par trois dimensions : L x l x 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Indice d’aplatissement : a = (L x l)/2e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- a = 1 galets sphériques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- </w:t>
      </w: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a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 &gt; 1 galets de plus en plus plats </w:t>
      </w:r>
    </w:p>
    <w:p w:rsidR="00013C2C" w:rsidRPr="00013C2C" w:rsidRDefault="00013C2C" w:rsidP="00013C2C">
      <w:pPr>
        <w:pageBreakBefore/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Dans les fleuves, aplatissement faible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En mer, va-et-vient des vagues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b- Le sable (grains de quartz)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Il y a différentes catégorie de sable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NON USES (NU) : Anguleux Traces de chocs, peu de transport.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EMOUSSES LUISANT (EL) : Brillant, transparent, poli transport par l’eau.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RONDS MATES (RM) : Sphérique, pas transparent transport par le vent.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Un sédiment est caractérisé par différents types de grains.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Comptage (%) et courbes.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Caractères généraux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Sable marin : Anguleux à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sub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-anguleux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Aspect luisant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Souvent calibrés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Sable fluviatile : Anguleux en amont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Emoussé en aval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Peu luisant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Mal classé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Sable glaciaire : Très anguleux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Aspect broyé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Aucun calibrage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Sable éolien : Diamètre moyen (≈ 0,5 mm)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Très rond </w:t>
      </w: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Dépoli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8 -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>Exoscopie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 :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Etude microscopique (MEB) de la surface des grains détritiques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Observation des traces dues au transport.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Observation des traces de chocs Violence du choc, énergie du transport.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Observation des traces de dissolution altération.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pageBreakBefore/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lastRenderedPageBreak/>
        <w:t xml:space="preserve">II : Méthodes d’études des microfaunes et microflores </w:t>
      </w: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1 - Prélèvement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ATTENTION </w:t>
      </w: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: - aux pollutions </w:t>
      </w: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ind w:left="198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- à l’étiquetage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ind w:left="1980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2 - Traitement des échantillons </w:t>
      </w:r>
    </w:p>
    <w:p w:rsidR="00D74414" w:rsidRPr="00013C2C" w:rsidRDefault="00D74414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>a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 : Procédés d’extraction mécanique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LE FROTTIS = le plus rapide pour séparer les nannofossiles (&lt; 50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μm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LE LAVAGE = le plus courant pour extraire les microfossiles (&gt;50 </w:t>
      </w:r>
      <w:proofErr w:type="spellStart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μm</w:t>
      </w:r>
      <w:proofErr w:type="spellEnd"/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>b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 : Procédés d’extraction chimique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 xml:space="preserve">• Différentes attaques acides afin d’extraire les fossiles souhaités.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bookmarkStart w:id="0" w:name="_GoBack"/>
      <w:bookmarkEnd w:id="0"/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FELJGM+TimesNewRoman" w:hAnsi="FELJGM+TimesNewRoman" w:cs="FELJGM+TimesNewRoman"/>
          <w:color w:val="000000"/>
          <w:sz w:val="28"/>
          <w:szCs w:val="28"/>
        </w:rPr>
      </w:pPr>
      <w:proofErr w:type="gramStart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>c</w:t>
      </w:r>
      <w:proofErr w:type="gramEnd"/>
      <w:r w:rsidRPr="00013C2C"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  <w:t xml:space="preserve"> : Confection de lames minces </w:t>
      </w:r>
    </w:p>
    <w:p w:rsidR="00A15BB6" w:rsidRDefault="00013C2C" w:rsidP="00013C2C">
      <w:pPr>
        <w:rPr>
          <w:rFonts w:ascii="FELJGM+TimesNewRoman" w:hAnsi="FELJGM+TimesNewRoman" w:cs="FELJGM+TimesNewRoman"/>
          <w:color w:val="000000"/>
          <w:sz w:val="28"/>
          <w:szCs w:val="28"/>
        </w:rPr>
      </w:pPr>
      <w:r w:rsidRPr="00013C2C">
        <w:rPr>
          <w:rFonts w:ascii="FELJGM+TimesNewRoman" w:hAnsi="FELJGM+TimesNewRoman" w:cs="FELJGM+TimesNewRoman"/>
          <w:color w:val="000000"/>
          <w:sz w:val="28"/>
          <w:szCs w:val="28"/>
        </w:rPr>
        <w:t>Etudiée plus tard.</w:t>
      </w:r>
    </w:p>
    <w:p w:rsidR="00013C2C" w:rsidRPr="005A7770" w:rsidRDefault="00013C2C" w:rsidP="00013C2C">
      <w:pPr>
        <w:rPr>
          <w:rFonts w:ascii="FELJGM+TimesNewRoman" w:hAnsi="FELJGM+TimesNewRoman" w:cs="FELJGM+TimesNewRoman"/>
          <w:color w:val="000000"/>
          <w:sz w:val="28"/>
          <w:szCs w:val="28"/>
          <w:u w:val="single"/>
        </w:rPr>
      </w:pPr>
    </w:p>
    <w:p w:rsidR="00D74414" w:rsidRPr="005A7770" w:rsidRDefault="00D74414" w:rsidP="00D74414">
      <w:pPr>
        <w:autoSpaceDE w:val="0"/>
        <w:autoSpaceDN w:val="0"/>
        <w:adjustRightInd w:val="0"/>
        <w:spacing w:after="0" w:line="240" w:lineRule="auto"/>
        <w:jc w:val="center"/>
        <w:rPr>
          <w:rFonts w:ascii="OBHMBO+TimesNewRoman,Bold" w:hAnsi="OBHMBO+TimesNewRoman,Bold" w:cs="OBHMBO+TimesNewRoman,Bold"/>
          <w:color w:val="000000"/>
          <w:sz w:val="28"/>
          <w:szCs w:val="28"/>
          <w:u w:val="single"/>
        </w:rPr>
      </w:pPr>
      <w:r w:rsidRPr="005A7770">
        <w:rPr>
          <w:rFonts w:ascii="OBHMBO+TimesNewRoman,Bold" w:hAnsi="OBHMBO+TimesNewRoman,Bold" w:cs="OBHMBO+TimesNewRoman,Bold"/>
          <w:b/>
          <w:bCs/>
          <w:color w:val="7030A0"/>
          <w:sz w:val="28"/>
          <w:szCs w:val="28"/>
          <w:u w:val="single"/>
        </w:rPr>
        <w:t xml:space="preserve">SYNTHESE METHODE EN GEOSCIENCE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jc w:val="center"/>
        <w:rPr>
          <w:rFonts w:ascii="OBHMBO+TimesNewRoman,Bold" w:hAnsi="OBHMBO+TimesNewRoman,Bold" w:cs="OBHMBO+TimesNewRoman,Bold"/>
          <w:color w:val="000000"/>
          <w:sz w:val="28"/>
          <w:szCs w:val="28"/>
        </w:rPr>
      </w:pPr>
      <w:r w:rsidRPr="00013C2C">
        <w:rPr>
          <w:rFonts w:ascii="OBHMBO+TimesNewRoman,Bold" w:hAnsi="OBHMBO+TimesNewRoman,Bold"/>
          <w:sz w:val="24"/>
          <w:szCs w:val="24"/>
        </w:rPr>
        <w:t xml:space="preserve">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REPERAGE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Boussole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Soleil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Eglise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Planimétrie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Toponymie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Topographie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GPS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Triangulation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AFFLEUREMENTS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Naturel ou anthropique ?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</w:t>
      </w: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Observation </w:t>
      </w: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: De loin, de près, faire un log, une photo avec échelle, un dessin, prendre des notes, la date, la météo, le pendage.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ECHANTILLONAGE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Cassure fraîche, indiquer le haut et le bas, le pendage, extraire l’échantillon et le mettre dans un sac.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L’échantillon doit être représentatif de la roche. Il doit être ni trop gros ni trop petit. La taille d’un poing suffit.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SECURITE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Pas d’alcool, pas fumer, pas se mettre dans une zone à risque, ne pas partir seul, vêtement visible de loin…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MATERIELLE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lastRenderedPageBreak/>
        <w:t xml:space="preserve">Casque de chantier, gilet fluo, marteau, boussole, loupe, carnet de terrain, sac plastique, crayons de couleurs, carte, portable, appareil photo, autorisations d’accès…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ROCHES OBSERVEES :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</w:t>
      </w: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Domaine Ligérien </w:t>
      </w: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: roche du complexe de St George/Loire unité sud.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Rhyolite : roche magmatique volcanique acide.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</w:t>
      </w:r>
      <w:proofErr w:type="spellStart"/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>Spilites</w:t>
      </w:r>
      <w:proofErr w:type="spellEnd"/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 : roche magmatique basique, filonienne (400Ma) </w:t>
      </w:r>
    </w:p>
    <w:p w:rsidR="00013C2C" w:rsidRP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Calcaire associé aux </w:t>
      </w:r>
      <w:proofErr w:type="spellStart"/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>spilites</w:t>
      </w:r>
      <w:proofErr w:type="spellEnd"/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. </w:t>
      </w:r>
    </w:p>
    <w:p w:rsidR="00013C2C" w:rsidRDefault="00013C2C" w:rsidP="00013C2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</w:t>
      </w:r>
      <w:proofErr w:type="spellStart"/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>Phtanites</w:t>
      </w:r>
      <w:proofErr w:type="spellEnd"/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 </w:t>
      </w:r>
    </w:p>
    <w:p w:rsidR="00D74414" w:rsidRDefault="00D74414" w:rsidP="00013C2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</w:p>
    <w:p w:rsidR="00D74414" w:rsidRPr="00013C2C" w:rsidRDefault="00D74414" w:rsidP="00D74414">
      <w:pPr>
        <w:autoSpaceDE w:val="0"/>
        <w:autoSpaceDN w:val="0"/>
        <w:adjustRightInd w:val="0"/>
        <w:spacing w:after="0" w:line="240" w:lineRule="auto"/>
        <w:ind w:left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• Sillon houiller de la basse Loire : </w:t>
      </w:r>
    </w:p>
    <w:p w:rsidR="00D74414" w:rsidRPr="00013C2C" w:rsidRDefault="00D74414" w:rsidP="00D744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Roche détritique terrigène : conglomérat, grés (Arkose, Psammite), schiste, fossiles de plantes (320 –330 Ma) </w:t>
      </w:r>
    </w:p>
    <w:p w:rsidR="00D74414" w:rsidRPr="00013C2C" w:rsidRDefault="00D74414" w:rsidP="00D744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Roche carboné : charbon … </w:t>
      </w:r>
    </w:p>
    <w:p w:rsidR="00D74414" w:rsidRPr="00013C2C" w:rsidRDefault="00D74414" w:rsidP="00D744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Roche volcanique : Cinérite (cendre volcanique), </w:t>
      </w:r>
      <w:proofErr w:type="spellStart"/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>Tuffite</w:t>
      </w:r>
      <w:proofErr w:type="spellEnd"/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, brèches volcanique… </w:t>
      </w:r>
    </w:p>
    <w:p w:rsidR="00D74414" w:rsidRPr="00013C2C" w:rsidRDefault="00D74414" w:rsidP="00D7441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• </w:t>
      </w:r>
      <w:r w:rsidRPr="00013C2C">
        <w:rPr>
          <w:rFonts w:ascii="OBHMDE+TimesNewRoman" w:hAnsi="OBHMDE+TimesNewRoman" w:cs="OBHMDE+TimesNewRoman"/>
          <w:color w:val="000000"/>
          <w:sz w:val="28"/>
          <w:szCs w:val="28"/>
          <w:u w:val="single"/>
        </w:rPr>
        <w:t xml:space="preserve">Sud de Doué la Fontaine </w:t>
      </w: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: Essentiellement des roches carbonatées (170 Ma, dépôt marin) </w:t>
      </w:r>
    </w:p>
    <w:p w:rsidR="00D74414" w:rsidRPr="00013C2C" w:rsidRDefault="00D74414" w:rsidP="00D744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Bajocien, Bathonien et Callovien : Oolites ferrugineuses. </w:t>
      </w:r>
    </w:p>
    <w:p w:rsidR="00D74414" w:rsidRPr="00013C2C" w:rsidRDefault="00D74414" w:rsidP="00D744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Crétacé supérieur : Sable et gravier </w:t>
      </w:r>
    </w:p>
    <w:p w:rsidR="00D74414" w:rsidRPr="00013C2C" w:rsidRDefault="00D74414" w:rsidP="00D744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OBHMDE+TimesNewRoman" w:hAnsi="OBHMDE+TimesNewRoman" w:cs="OBHMDE+TimesNewRoman"/>
          <w:color w:val="000000"/>
          <w:sz w:val="28"/>
          <w:szCs w:val="28"/>
        </w:rPr>
      </w:pPr>
      <w:r w:rsidRPr="00013C2C">
        <w:rPr>
          <w:rFonts w:ascii="OBHMDE+TimesNewRoman" w:hAnsi="OBHMDE+TimesNewRoman" w:cs="OBHMDE+TimesNewRoman"/>
          <w:color w:val="000000"/>
          <w:sz w:val="28"/>
          <w:szCs w:val="28"/>
        </w:rPr>
        <w:t xml:space="preserve">- Cénomanien : Marne à huîtres. </w:t>
      </w:r>
    </w:p>
    <w:sectPr w:rsidR="00D74414" w:rsidRPr="00013C2C" w:rsidSect="00D7441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JF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BHMB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LJ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LJLP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BHM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2C"/>
    <w:rsid w:val="00013C2C"/>
    <w:rsid w:val="005A7770"/>
    <w:rsid w:val="00A15BB6"/>
    <w:rsid w:val="00D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C2C"/>
    <w:pPr>
      <w:autoSpaceDE w:val="0"/>
      <w:autoSpaceDN w:val="0"/>
      <w:adjustRightInd w:val="0"/>
      <w:spacing w:after="0" w:line="240" w:lineRule="auto"/>
    </w:pPr>
    <w:rPr>
      <w:rFonts w:ascii="FELJFG+TimesNewRoman,Bold" w:hAnsi="FELJFG+TimesNewRoman,Bold" w:cs="FELJFG+TimesNewRoman,Bold"/>
      <w:color w:val="000000"/>
      <w:sz w:val="24"/>
      <w:szCs w:val="24"/>
    </w:rPr>
  </w:style>
  <w:style w:type="paragraph" w:customStyle="1" w:styleId="Titre">
    <w:name w:val="Titre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1">
    <w:name w:val="Titre 1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2">
    <w:name w:val="Titre 2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4">
    <w:name w:val="Titre 4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3">
    <w:name w:val="Titre 3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5">
    <w:name w:val="Titre 5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Retraitcorpsdetexte">
    <w:name w:val="Retrait corps de texte"/>
    <w:basedOn w:val="Default"/>
    <w:next w:val="Default"/>
    <w:uiPriority w:val="99"/>
    <w:rsid w:val="00013C2C"/>
    <w:rPr>
      <w:rFonts w:ascii="OBHMBO+TimesNewRoman,Bold" w:hAnsi="OBHMBO+TimesNewRoman,Bol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C2C"/>
    <w:pPr>
      <w:autoSpaceDE w:val="0"/>
      <w:autoSpaceDN w:val="0"/>
      <w:adjustRightInd w:val="0"/>
      <w:spacing w:after="0" w:line="240" w:lineRule="auto"/>
    </w:pPr>
    <w:rPr>
      <w:rFonts w:ascii="FELJFG+TimesNewRoman,Bold" w:hAnsi="FELJFG+TimesNewRoman,Bold" w:cs="FELJFG+TimesNewRoman,Bold"/>
      <w:color w:val="000000"/>
      <w:sz w:val="24"/>
      <w:szCs w:val="24"/>
    </w:rPr>
  </w:style>
  <w:style w:type="paragraph" w:customStyle="1" w:styleId="Titre">
    <w:name w:val="Titre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1">
    <w:name w:val="Titre 1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2">
    <w:name w:val="Titre 2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4">
    <w:name w:val="Titre 4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3">
    <w:name w:val="Titre 3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Titre5">
    <w:name w:val="Titre 5"/>
    <w:basedOn w:val="Default"/>
    <w:next w:val="Default"/>
    <w:uiPriority w:val="99"/>
    <w:rsid w:val="00013C2C"/>
    <w:rPr>
      <w:rFonts w:cstheme="minorBidi"/>
      <w:color w:val="auto"/>
    </w:rPr>
  </w:style>
  <w:style w:type="paragraph" w:customStyle="1" w:styleId="Retraitcorpsdetexte">
    <w:name w:val="Retrait corps de texte"/>
    <w:basedOn w:val="Default"/>
    <w:next w:val="Default"/>
    <w:uiPriority w:val="99"/>
    <w:rsid w:val="00013C2C"/>
    <w:rPr>
      <w:rFonts w:ascii="OBHMBO+TimesNewRoman,Bold" w:hAnsi="OBHMBO+TimesNewRoman,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2013-11-03T18:27:00Z</dcterms:created>
  <dcterms:modified xsi:type="dcterms:W3CDTF">2013-11-03T18:27:00Z</dcterms:modified>
</cp:coreProperties>
</file>