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E5" w:rsidRDefault="00406716">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5797550</wp:posOffset>
            </wp:positionH>
            <wp:positionV relativeFrom="paragraph">
              <wp:posOffset>-12065</wp:posOffset>
            </wp:positionV>
            <wp:extent cx="1270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2700" cy="6350"/>
                    </a:xfrm>
                    <a:prstGeom prst="rect">
                      <a:avLst/>
                    </a:prstGeom>
                    <a:noFill/>
                  </pic:spPr>
                </pic:pic>
              </a:graphicData>
            </a:graphic>
          </wp:anchor>
        </w:drawing>
      </w:r>
    </w:p>
    <w:p w:rsidR="00300DE5" w:rsidRDefault="00300DE5">
      <w:pPr>
        <w:spacing w:line="200" w:lineRule="exact"/>
        <w:rPr>
          <w:sz w:val="24"/>
          <w:szCs w:val="24"/>
        </w:rPr>
      </w:pPr>
    </w:p>
    <w:p w:rsidR="00300DE5" w:rsidRDefault="00300DE5">
      <w:pPr>
        <w:spacing w:line="200" w:lineRule="exact"/>
        <w:rPr>
          <w:sz w:val="24"/>
          <w:szCs w:val="24"/>
        </w:rPr>
      </w:pPr>
    </w:p>
    <w:p w:rsidR="00300DE5" w:rsidRPr="00406716" w:rsidRDefault="00300DE5" w:rsidP="00406716">
      <w:pPr>
        <w:spacing w:line="235" w:lineRule="exact"/>
        <w:jc w:val="center"/>
        <w:rPr>
          <w:sz w:val="6"/>
          <w:szCs w:val="24"/>
        </w:rPr>
      </w:pPr>
      <w:bookmarkStart w:id="0" w:name="_GoBack"/>
      <w:bookmarkEnd w:id="0"/>
    </w:p>
    <w:p w:rsidR="00300DE5" w:rsidRPr="00406716" w:rsidRDefault="00406716" w:rsidP="00406716">
      <w:pPr>
        <w:spacing w:line="331" w:lineRule="auto"/>
        <w:ind w:left="1180" w:right="980" w:hanging="815"/>
        <w:jc w:val="center"/>
        <w:rPr>
          <w:sz w:val="2"/>
          <w:szCs w:val="20"/>
        </w:rPr>
      </w:pPr>
      <w:r w:rsidRPr="00406716">
        <w:rPr>
          <w:rFonts w:ascii="Arial" w:eastAsia="Arial" w:hAnsi="Arial" w:cs="Arial"/>
          <w:b/>
          <w:bCs/>
          <w:szCs w:val="56"/>
        </w:rPr>
        <w:t>ANALYSE SEMIOTIQUE D’UNE AFFICHE PUBLICITAIRE</w:t>
      </w:r>
    </w:p>
    <w:p w:rsidR="00300DE5" w:rsidRDefault="00406716">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-1905</wp:posOffset>
            </wp:positionH>
            <wp:positionV relativeFrom="paragraph">
              <wp:posOffset>103505</wp:posOffset>
            </wp:positionV>
            <wp:extent cx="5812790" cy="6430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812790" cy="6430010"/>
                    </a:xfrm>
                    <a:prstGeom prst="rect">
                      <a:avLst/>
                    </a:prstGeom>
                    <a:noFill/>
                  </pic:spPr>
                </pic:pic>
              </a:graphicData>
            </a:graphic>
          </wp:anchor>
        </w:drawing>
      </w:r>
    </w:p>
    <w:p w:rsidR="00300DE5" w:rsidRDefault="00300DE5">
      <w:pPr>
        <w:sectPr w:rsidR="00300DE5" w:rsidSect="00406716">
          <w:pgSz w:w="11900" w:h="16840"/>
          <w:pgMar w:top="426" w:right="80" w:bottom="132" w:left="1380" w:header="0" w:footer="0" w:gutter="0"/>
          <w:cols w:space="720" w:equalWidth="0">
            <w:col w:w="10440"/>
          </w:cols>
        </w:sect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200" w:lineRule="exact"/>
        <w:rPr>
          <w:sz w:val="24"/>
          <w:szCs w:val="24"/>
        </w:rPr>
      </w:pPr>
    </w:p>
    <w:p w:rsidR="00300DE5" w:rsidRDefault="00300DE5">
      <w:pPr>
        <w:spacing w:line="318" w:lineRule="exact"/>
        <w:rPr>
          <w:sz w:val="24"/>
          <w:szCs w:val="24"/>
        </w:rPr>
      </w:pPr>
    </w:p>
    <w:p w:rsidR="00300DE5" w:rsidRDefault="00406716">
      <w:pPr>
        <w:ind w:left="4380"/>
        <w:rPr>
          <w:sz w:val="20"/>
          <w:szCs w:val="20"/>
        </w:rPr>
      </w:pPr>
      <w:r>
        <w:rPr>
          <w:rFonts w:ascii="Arial" w:eastAsia="Arial" w:hAnsi="Arial" w:cs="Arial"/>
        </w:rPr>
        <w:t>- 1 -</w:t>
      </w:r>
    </w:p>
    <w:p w:rsidR="00300DE5" w:rsidRDefault="00300DE5">
      <w:pPr>
        <w:sectPr w:rsidR="00300DE5">
          <w:type w:val="continuous"/>
          <w:pgSz w:w="11900" w:h="16840"/>
          <w:pgMar w:top="1418" w:right="80" w:bottom="132" w:left="1380" w:header="0" w:footer="0" w:gutter="0"/>
          <w:cols w:space="720" w:equalWidth="0">
            <w:col w:w="10440"/>
          </w:cols>
        </w:sectPr>
      </w:pPr>
    </w:p>
    <w:p w:rsidR="00300DE5" w:rsidRDefault="00406716">
      <w:pPr>
        <w:spacing w:line="329" w:lineRule="auto"/>
        <w:ind w:left="1580"/>
        <w:jc w:val="center"/>
        <w:rPr>
          <w:sz w:val="20"/>
          <w:szCs w:val="20"/>
        </w:rPr>
      </w:pPr>
      <w:bookmarkStart w:id="1" w:name="page2"/>
      <w:bookmarkEnd w:id="1"/>
      <w:r>
        <w:rPr>
          <w:rFonts w:ascii="Arial" w:eastAsia="Arial" w:hAnsi="Arial" w:cs="Arial"/>
          <w:b/>
          <w:bCs/>
          <w:sz w:val="32"/>
          <w:szCs w:val="32"/>
        </w:rPr>
        <w:lastRenderedPageBreak/>
        <w:t xml:space="preserve">ANALYSE SEMIOTIQUE D’UNE </w:t>
      </w:r>
      <w:r>
        <w:rPr>
          <w:rFonts w:ascii="Arial" w:eastAsia="Arial" w:hAnsi="Arial" w:cs="Arial"/>
          <w:b/>
          <w:bCs/>
          <w:sz w:val="32"/>
          <w:szCs w:val="32"/>
        </w:rPr>
        <w:t>AFFICHE PUBLICITAIRE DE LA MARQUE DE LINGERIE « TRIUMPH »</w:t>
      </w:r>
    </w:p>
    <w:p w:rsidR="00300DE5" w:rsidRDefault="0040671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-27305</wp:posOffset>
            </wp:positionH>
            <wp:positionV relativeFrom="paragraph">
              <wp:posOffset>66675</wp:posOffset>
            </wp:positionV>
            <wp:extent cx="581279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812790" cy="19050"/>
                    </a:xfrm>
                    <a:prstGeom prst="rect">
                      <a:avLst/>
                    </a:prstGeom>
                    <a:noFill/>
                  </pic:spPr>
                </pic:pic>
              </a:graphicData>
            </a:graphic>
          </wp:anchor>
        </w:drawing>
      </w: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57" w:lineRule="exact"/>
        <w:rPr>
          <w:sz w:val="20"/>
          <w:szCs w:val="20"/>
        </w:rPr>
      </w:pPr>
    </w:p>
    <w:p w:rsidR="00300DE5" w:rsidRDefault="00406716">
      <w:pPr>
        <w:rPr>
          <w:sz w:val="20"/>
          <w:szCs w:val="20"/>
        </w:rPr>
      </w:pPr>
      <w:r>
        <w:rPr>
          <w:rFonts w:ascii="Arial" w:eastAsia="Arial" w:hAnsi="Arial" w:cs="Arial"/>
          <w:b/>
          <w:bCs/>
          <w:color w:val="CC0000"/>
          <w:sz w:val="24"/>
          <w:szCs w:val="24"/>
        </w:rPr>
        <w:t>Situation de l’affiche :</w:t>
      </w:r>
    </w:p>
    <w:p w:rsidR="00300DE5" w:rsidRDefault="0040671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-8255</wp:posOffset>
            </wp:positionH>
            <wp:positionV relativeFrom="paragraph">
              <wp:posOffset>-23495</wp:posOffset>
            </wp:positionV>
            <wp:extent cx="1456690" cy="27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56690" cy="27940"/>
                    </a:xfrm>
                    <a:prstGeom prst="rect">
                      <a:avLst/>
                    </a:prstGeom>
                    <a:noFill/>
                  </pic:spPr>
                </pic:pic>
              </a:graphicData>
            </a:graphic>
          </wp:anchor>
        </w:drawing>
      </w:r>
    </w:p>
    <w:p w:rsidR="00300DE5" w:rsidRDefault="00300DE5">
      <w:pPr>
        <w:spacing w:line="292" w:lineRule="exact"/>
        <w:rPr>
          <w:sz w:val="20"/>
          <w:szCs w:val="20"/>
        </w:rPr>
      </w:pPr>
    </w:p>
    <w:p w:rsidR="00300DE5" w:rsidRDefault="00406716">
      <w:pPr>
        <w:spacing w:line="339" w:lineRule="auto"/>
        <w:ind w:right="1080"/>
        <w:rPr>
          <w:sz w:val="20"/>
          <w:szCs w:val="20"/>
        </w:rPr>
      </w:pPr>
      <w:r>
        <w:rPr>
          <w:rFonts w:ascii="Arial" w:eastAsia="Arial" w:hAnsi="Arial" w:cs="Arial"/>
          <w:sz w:val="21"/>
          <w:szCs w:val="21"/>
        </w:rPr>
        <w:t xml:space="preserve">Il s’agit d’une affiche de la marque de lingerie Triumph, issue de la campagne d’octobre 2005. Cette affiche était placée à l’intérieur des arrêts de bus, dans </w:t>
      </w:r>
      <w:r>
        <w:rPr>
          <w:rFonts w:ascii="Arial" w:eastAsia="Arial" w:hAnsi="Arial" w:cs="Arial"/>
          <w:sz w:val="21"/>
          <w:szCs w:val="21"/>
        </w:rPr>
        <w:t>toute la France.</w:t>
      </w: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61" w:lineRule="exact"/>
        <w:rPr>
          <w:sz w:val="20"/>
          <w:szCs w:val="20"/>
        </w:rPr>
      </w:pPr>
    </w:p>
    <w:p w:rsidR="00300DE5" w:rsidRDefault="00406716">
      <w:pPr>
        <w:rPr>
          <w:sz w:val="20"/>
          <w:szCs w:val="20"/>
        </w:rPr>
      </w:pPr>
      <w:r>
        <w:rPr>
          <w:rFonts w:ascii="Arial" w:eastAsia="Arial" w:hAnsi="Arial" w:cs="Arial"/>
          <w:b/>
          <w:bCs/>
          <w:color w:val="CC0000"/>
          <w:sz w:val="24"/>
          <w:szCs w:val="24"/>
        </w:rPr>
        <w:t>Le texte : analyse du contenu linguistique :</w:t>
      </w:r>
    </w:p>
    <w:p w:rsidR="00300DE5" w:rsidRDefault="0040671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-8255</wp:posOffset>
            </wp:positionH>
            <wp:positionV relativeFrom="paragraph">
              <wp:posOffset>-23495</wp:posOffset>
            </wp:positionV>
            <wp:extent cx="2795270" cy="27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95270" cy="27940"/>
                    </a:xfrm>
                    <a:prstGeom prst="rect">
                      <a:avLst/>
                    </a:prstGeom>
                    <a:noFill/>
                  </pic:spPr>
                </pic:pic>
              </a:graphicData>
            </a:graphic>
          </wp:anchor>
        </w:drawing>
      </w:r>
    </w:p>
    <w:p w:rsidR="00300DE5" w:rsidRDefault="00300DE5">
      <w:pPr>
        <w:spacing w:line="342" w:lineRule="exact"/>
        <w:rPr>
          <w:sz w:val="20"/>
          <w:szCs w:val="20"/>
        </w:rPr>
      </w:pPr>
    </w:p>
    <w:p w:rsidR="00300DE5" w:rsidRDefault="00406716">
      <w:pPr>
        <w:numPr>
          <w:ilvl w:val="0"/>
          <w:numId w:val="1"/>
        </w:numPr>
        <w:tabs>
          <w:tab w:val="left" w:pos="720"/>
        </w:tabs>
        <w:ind w:left="720" w:hanging="364"/>
        <w:rPr>
          <w:rFonts w:ascii="Symbol" w:eastAsia="Symbol" w:hAnsi="Symbol" w:cs="Symbol"/>
          <w:sz w:val="48"/>
          <w:szCs w:val="48"/>
          <w:vertAlign w:val="superscript"/>
        </w:rPr>
      </w:pPr>
      <w:r>
        <w:rPr>
          <w:rFonts w:ascii="Arial" w:eastAsia="Arial" w:hAnsi="Arial" w:cs="Arial"/>
          <w:b/>
          <w:bCs/>
          <w:sz w:val="24"/>
          <w:szCs w:val="24"/>
        </w:rPr>
        <w:t>Slogan « Ne ratez pas votre bus ! » :</w:t>
      </w:r>
    </w:p>
    <w:p w:rsidR="00300DE5" w:rsidRDefault="0040671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448310</wp:posOffset>
            </wp:positionH>
            <wp:positionV relativeFrom="paragraph">
              <wp:posOffset>-89535</wp:posOffset>
            </wp:positionV>
            <wp:extent cx="2345690" cy="27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5690" cy="27940"/>
                    </a:xfrm>
                    <a:prstGeom prst="rect">
                      <a:avLst/>
                    </a:prstGeom>
                    <a:noFill/>
                  </pic:spPr>
                </pic:pic>
              </a:graphicData>
            </a:graphic>
          </wp:anchor>
        </w:drawing>
      </w:r>
    </w:p>
    <w:p w:rsidR="00300DE5" w:rsidRDefault="00300DE5">
      <w:pPr>
        <w:spacing w:line="187" w:lineRule="exact"/>
        <w:rPr>
          <w:sz w:val="20"/>
          <w:szCs w:val="20"/>
        </w:rPr>
      </w:pPr>
    </w:p>
    <w:p w:rsidR="00300DE5" w:rsidRDefault="00406716">
      <w:pPr>
        <w:spacing w:line="272" w:lineRule="auto"/>
        <w:ind w:right="500"/>
        <w:rPr>
          <w:sz w:val="20"/>
          <w:szCs w:val="20"/>
        </w:rPr>
      </w:pPr>
      <w:r>
        <w:rPr>
          <w:rFonts w:ascii="Arial" w:eastAsia="Arial" w:hAnsi="Arial" w:cs="Arial"/>
        </w:rPr>
        <w:t xml:space="preserve">Ce slogan n’a aucun rapport apparent avec l’image, mais avec le contexte. En effet, les significations possibles de l’affiche sont </w:t>
      </w:r>
      <w:r>
        <w:rPr>
          <w:rFonts w:ascii="Arial" w:eastAsia="Arial" w:hAnsi="Arial" w:cs="Arial"/>
        </w:rPr>
        <w:t>modifiées par le contexte même d’affichage. Ce slogan n’a en effet pas de fonction d’ancrage par rapport au contenu visuel même de l’affiche, mais par rapport au contexte. L’affichage étant réalisé dans les arrêts de bus, les personnes la regardant sont ra</w:t>
      </w:r>
      <w:r>
        <w:rPr>
          <w:rFonts w:ascii="Arial" w:eastAsia="Arial" w:hAnsi="Arial" w:cs="Arial"/>
        </w:rPr>
        <w:t>menés, repositionnés dans leur contexte, leur situation d’attendre un bus, ce qui renforce la fonction d’ancrage particulière de ce slogan.</w:t>
      </w:r>
    </w:p>
    <w:p w:rsidR="00300DE5" w:rsidRDefault="00300DE5">
      <w:pPr>
        <w:spacing w:line="212" w:lineRule="exact"/>
        <w:rPr>
          <w:sz w:val="20"/>
          <w:szCs w:val="20"/>
        </w:rPr>
      </w:pPr>
    </w:p>
    <w:p w:rsidR="00300DE5" w:rsidRDefault="00406716">
      <w:pPr>
        <w:spacing w:line="267" w:lineRule="auto"/>
        <w:ind w:right="480"/>
        <w:rPr>
          <w:sz w:val="20"/>
          <w:szCs w:val="20"/>
        </w:rPr>
      </w:pPr>
      <w:r>
        <w:rPr>
          <w:rFonts w:ascii="Arial" w:eastAsia="Arial" w:hAnsi="Arial" w:cs="Arial"/>
          <w:sz w:val="24"/>
          <w:szCs w:val="24"/>
        </w:rPr>
        <w:t xml:space="preserve">Une typologie fine, longue, en hauteur, renforce visuellement une idée de verticalité, au même titre que la </w:t>
      </w:r>
      <w:r>
        <w:rPr>
          <w:rFonts w:ascii="Arial" w:eastAsia="Arial" w:hAnsi="Arial" w:cs="Arial"/>
          <w:sz w:val="24"/>
          <w:szCs w:val="24"/>
        </w:rPr>
        <w:t>femme longiligne présente au centre de l’affiche.</w:t>
      </w:r>
    </w:p>
    <w:p w:rsidR="00300DE5" w:rsidRDefault="00300DE5">
      <w:pPr>
        <w:spacing w:line="214" w:lineRule="exact"/>
        <w:rPr>
          <w:sz w:val="20"/>
          <w:szCs w:val="20"/>
        </w:rPr>
      </w:pPr>
    </w:p>
    <w:p w:rsidR="00300DE5" w:rsidRDefault="00406716">
      <w:pPr>
        <w:spacing w:line="253" w:lineRule="auto"/>
        <w:ind w:right="480"/>
        <w:rPr>
          <w:sz w:val="20"/>
          <w:szCs w:val="20"/>
        </w:rPr>
      </w:pPr>
      <w:r>
        <w:rPr>
          <w:rFonts w:ascii="Arial" w:eastAsia="Arial" w:hAnsi="Arial" w:cs="Arial"/>
          <w:sz w:val="24"/>
          <w:szCs w:val="24"/>
        </w:rPr>
        <w:t xml:space="preserve">L’injonction faite à la deuxième personne du pluriel (« votre », « ratez »), montre que l’on s’adresse à chacun, que l’on interpelle tout le monde, mais avec politesse et déférence rendues par le choix du </w:t>
      </w:r>
      <w:r>
        <w:rPr>
          <w:rFonts w:ascii="Arial" w:eastAsia="Arial" w:hAnsi="Arial" w:cs="Arial"/>
          <w:sz w:val="24"/>
          <w:szCs w:val="24"/>
        </w:rPr>
        <w:t>pluriel de conjugaison.</w:t>
      </w:r>
    </w:p>
    <w:p w:rsidR="00300DE5" w:rsidRDefault="00300DE5">
      <w:pPr>
        <w:spacing w:line="231" w:lineRule="exact"/>
        <w:rPr>
          <w:sz w:val="20"/>
          <w:szCs w:val="20"/>
        </w:rPr>
      </w:pPr>
    </w:p>
    <w:p w:rsidR="00300DE5" w:rsidRDefault="00406716">
      <w:pPr>
        <w:rPr>
          <w:sz w:val="20"/>
          <w:szCs w:val="20"/>
        </w:rPr>
      </w:pPr>
      <w:r>
        <w:rPr>
          <w:rFonts w:ascii="Arial" w:eastAsia="Arial" w:hAnsi="Arial" w:cs="Arial"/>
          <w:sz w:val="23"/>
          <w:szCs w:val="23"/>
        </w:rPr>
        <w:t>Ce slogan assure le lien entre l’affiche et l’extérieur. La personne, le « lecteur » est interpellé</w:t>
      </w:r>
    </w:p>
    <w:p w:rsidR="00300DE5" w:rsidRDefault="00300DE5">
      <w:pPr>
        <w:spacing w:line="12" w:lineRule="exact"/>
        <w:rPr>
          <w:sz w:val="20"/>
          <w:szCs w:val="20"/>
        </w:rPr>
      </w:pPr>
    </w:p>
    <w:p w:rsidR="00300DE5" w:rsidRDefault="00406716">
      <w:pPr>
        <w:spacing w:line="313" w:lineRule="auto"/>
        <w:ind w:right="1060"/>
        <w:rPr>
          <w:sz w:val="20"/>
          <w:szCs w:val="20"/>
        </w:rPr>
      </w:pPr>
      <w:r>
        <w:rPr>
          <w:rFonts w:ascii="Arial" w:eastAsia="Arial" w:hAnsi="Arial" w:cs="Arial"/>
        </w:rPr>
        <w:t>directement, dans son contexte de vie : le slogan renforce son impact en s’adressant « directement » à la personne, dans son cours</w:t>
      </w:r>
      <w:r>
        <w:rPr>
          <w:rFonts w:ascii="Arial" w:eastAsia="Arial" w:hAnsi="Arial" w:cs="Arial"/>
        </w:rPr>
        <w:t xml:space="preserve"> d’action, dans la situation présente.</w:t>
      </w:r>
    </w:p>
    <w:p w:rsidR="00300DE5" w:rsidRDefault="00300DE5">
      <w:pPr>
        <w:spacing w:line="168" w:lineRule="exact"/>
        <w:rPr>
          <w:sz w:val="20"/>
          <w:szCs w:val="20"/>
        </w:rPr>
      </w:pPr>
    </w:p>
    <w:p w:rsidR="00300DE5" w:rsidRDefault="00406716">
      <w:pPr>
        <w:spacing w:line="245" w:lineRule="auto"/>
        <w:ind w:right="580"/>
        <w:jc w:val="both"/>
        <w:rPr>
          <w:sz w:val="20"/>
          <w:szCs w:val="20"/>
        </w:rPr>
      </w:pPr>
      <w:r>
        <w:rPr>
          <w:rFonts w:ascii="Arial" w:eastAsia="Arial" w:hAnsi="Arial" w:cs="Arial"/>
          <w:sz w:val="24"/>
          <w:szCs w:val="24"/>
        </w:rPr>
        <w:t>Le slogan recontextualise, donne une vie et une signification nouvelle et originale à l’affiche (</w:t>
      </w:r>
      <w:r>
        <w:rPr>
          <w:rFonts w:ascii="Arial" w:eastAsia="Arial" w:hAnsi="Arial" w:cs="Arial"/>
          <w:i/>
          <w:iCs/>
          <w:sz w:val="24"/>
          <w:szCs w:val="24"/>
        </w:rPr>
        <w:t>a priori</w:t>
      </w:r>
      <w:r>
        <w:rPr>
          <w:rFonts w:ascii="Arial" w:eastAsia="Arial" w:hAnsi="Arial" w:cs="Arial"/>
          <w:sz w:val="24"/>
          <w:szCs w:val="24"/>
        </w:rPr>
        <w:t xml:space="preserve"> intemporelle et impersonnelle). Il situe l’affiche dans le « hic et nunc », alors que l’image à proprement par</w:t>
      </w:r>
      <w:r>
        <w:rPr>
          <w:rFonts w:ascii="Arial" w:eastAsia="Arial" w:hAnsi="Arial" w:cs="Arial"/>
          <w:sz w:val="24"/>
          <w:szCs w:val="24"/>
        </w:rPr>
        <w:t>ler, n’est clairement située ni dans un lieu, ni datée précisément. Le slogan (de manière grammaticale et sémantique), « appelle » le lecteur, tout en le rappelant à une réalité dans laquelle il est plongée au moment même où il découvre l’affiche : attendr</w:t>
      </w:r>
      <w:r>
        <w:rPr>
          <w:rFonts w:ascii="Arial" w:eastAsia="Arial" w:hAnsi="Arial" w:cs="Arial"/>
          <w:sz w:val="24"/>
          <w:szCs w:val="24"/>
        </w:rPr>
        <w:t>e le bus.</w:t>
      </w:r>
    </w:p>
    <w:p w:rsidR="00300DE5" w:rsidRDefault="00300DE5">
      <w:pPr>
        <w:spacing w:line="291" w:lineRule="exact"/>
        <w:rPr>
          <w:sz w:val="20"/>
          <w:szCs w:val="20"/>
        </w:rPr>
      </w:pPr>
    </w:p>
    <w:p w:rsidR="00300DE5" w:rsidRPr="00406716" w:rsidRDefault="00406716">
      <w:pPr>
        <w:numPr>
          <w:ilvl w:val="0"/>
          <w:numId w:val="2"/>
        </w:numPr>
        <w:tabs>
          <w:tab w:val="left" w:pos="720"/>
        </w:tabs>
        <w:ind w:left="720" w:hanging="364"/>
        <w:rPr>
          <w:rFonts w:ascii="Symbol" w:eastAsia="Symbol" w:hAnsi="Symbol" w:cs="Symbol"/>
          <w:sz w:val="48"/>
          <w:szCs w:val="48"/>
          <w:vertAlign w:val="superscript"/>
          <w:lang w:val="en-US"/>
        </w:rPr>
      </w:pPr>
      <w:r w:rsidRPr="00406716">
        <w:rPr>
          <w:rFonts w:ascii="Arial" w:eastAsia="Arial" w:hAnsi="Arial" w:cs="Arial"/>
          <w:b/>
          <w:bCs/>
          <w:sz w:val="24"/>
          <w:szCs w:val="24"/>
          <w:lang w:val="en-US"/>
        </w:rPr>
        <w:t>Slogan « Mystic emotion by triumph »</w:t>
      </w:r>
    </w:p>
    <w:p w:rsidR="00300DE5" w:rsidRPr="00406716" w:rsidRDefault="00406716">
      <w:pPr>
        <w:spacing w:line="20" w:lineRule="exact"/>
        <w:rPr>
          <w:sz w:val="20"/>
          <w:szCs w:val="20"/>
          <w:lang w:val="en-US"/>
        </w:rPr>
      </w:pPr>
      <w:r>
        <w:rPr>
          <w:noProof/>
          <w:sz w:val="20"/>
          <w:szCs w:val="20"/>
        </w:rPr>
        <w:drawing>
          <wp:anchor distT="0" distB="0" distL="114300" distR="114300" simplePos="0" relativeHeight="251658240" behindDoc="1" locked="0" layoutInCell="0" allowOverlap="1">
            <wp:simplePos x="0" y="0"/>
            <wp:positionH relativeFrom="column">
              <wp:posOffset>448310</wp:posOffset>
            </wp:positionH>
            <wp:positionV relativeFrom="paragraph">
              <wp:posOffset>-89535</wp:posOffset>
            </wp:positionV>
            <wp:extent cx="2501900" cy="27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01900" cy="27940"/>
                    </a:xfrm>
                    <a:prstGeom prst="rect">
                      <a:avLst/>
                    </a:prstGeom>
                    <a:noFill/>
                  </pic:spPr>
                </pic:pic>
              </a:graphicData>
            </a:graphic>
          </wp:anchor>
        </w:drawing>
      </w:r>
    </w:p>
    <w:p w:rsidR="00300DE5" w:rsidRPr="00406716" w:rsidRDefault="00300DE5">
      <w:pPr>
        <w:spacing w:line="189" w:lineRule="exact"/>
        <w:rPr>
          <w:sz w:val="20"/>
          <w:szCs w:val="20"/>
          <w:lang w:val="en-US"/>
        </w:rPr>
      </w:pPr>
    </w:p>
    <w:p w:rsidR="00300DE5" w:rsidRDefault="00406716">
      <w:pPr>
        <w:rPr>
          <w:sz w:val="20"/>
          <w:szCs w:val="20"/>
        </w:rPr>
      </w:pPr>
      <w:r>
        <w:rPr>
          <w:rFonts w:ascii="Arial" w:eastAsia="Arial" w:hAnsi="Arial" w:cs="Arial"/>
          <w:sz w:val="24"/>
          <w:szCs w:val="24"/>
        </w:rPr>
        <w:t>Ici, la typologie est plus écrasée et en longueur que précédemment.</w:t>
      </w:r>
    </w:p>
    <w:p w:rsidR="00300DE5" w:rsidRDefault="00406716">
      <w:pPr>
        <w:spacing w:line="267" w:lineRule="auto"/>
        <w:ind w:right="900"/>
        <w:rPr>
          <w:sz w:val="20"/>
          <w:szCs w:val="20"/>
        </w:rPr>
      </w:pPr>
      <w:r>
        <w:rPr>
          <w:rFonts w:ascii="Arial" w:eastAsia="Arial" w:hAnsi="Arial" w:cs="Arial"/>
          <w:sz w:val="24"/>
          <w:szCs w:val="24"/>
        </w:rPr>
        <w:t>Le slogan à une fonction d’ancrage « classique », qui renvoie clairement à la marque et au produit « sous-vêtement ».</w:t>
      </w:r>
    </w:p>
    <w:p w:rsidR="00300DE5" w:rsidRDefault="00300DE5">
      <w:pPr>
        <w:sectPr w:rsidR="00300DE5">
          <w:pgSz w:w="11900" w:h="16840"/>
          <w:pgMar w:top="1418" w:right="980" w:bottom="132" w:left="1420" w:header="0" w:footer="0" w:gutter="0"/>
          <w:cols w:space="720" w:equalWidth="0">
            <w:col w:w="9500"/>
          </w:cols>
        </w:sect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386" w:lineRule="exact"/>
        <w:rPr>
          <w:sz w:val="20"/>
          <w:szCs w:val="20"/>
        </w:rPr>
      </w:pPr>
    </w:p>
    <w:p w:rsidR="00300DE5" w:rsidRPr="00406716" w:rsidRDefault="00300DE5" w:rsidP="00406716">
      <w:pPr>
        <w:ind w:right="420"/>
        <w:jc w:val="center"/>
        <w:rPr>
          <w:sz w:val="20"/>
          <w:szCs w:val="20"/>
        </w:rPr>
        <w:sectPr w:rsidR="00300DE5" w:rsidRPr="00406716">
          <w:type w:val="continuous"/>
          <w:pgSz w:w="11900" w:h="16840"/>
          <w:pgMar w:top="1418" w:right="980" w:bottom="132" w:left="1420" w:header="0" w:footer="0" w:gutter="0"/>
          <w:cols w:space="720" w:equalWidth="0">
            <w:col w:w="9500"/>
          </w:cols>
        </w:sectPr>
      </w:pPr>
    </w:p>
    <w:p w:rsidR="00300DE5" w:rsidRDefault="00300DE5">
      <w:pPr>
        <w:spacing w:line="15" w:lineRule="exact"/>
        <w:rPr>
          <w:sz w:val="20"/>
          <w:szCs w:val="20"/>
        </w:rPr>
      </w:pPr>
      <w:bookmarkStart w:id="2" w:name="page3"/>
      <w:bookmarkEnd w:id="2"/>
    </w:p>
    <w:p w:rsidR="00300DE5" w:rsidRDefault="00406716">
      <w:pPr>
        <w:spacing w:line="274" w:lineRule="auto"/>
        <w:ind w:left="4" w:right="420"/>
        <w:rPr>
          <w:sz w:val="20"/>
          <w:szCs w:val="20"/>
        </w:rPr>
      </w:pPr>
      <w:r>
        <w:rPr>
          <w:rFonts w:ascii="Arial" w:eastAsia="Arial" w:hAnsi="Arial" w:cs="Arial"/>
          <w:sz w:val="21"/>
          <w:szCs w:val="21"/>
        </w:rPr>
        <w:t>Il est possible de relever des « jeux de mots ». La signification de « triumph » peut se décomposer ; car le mot ne renvoie pas seulement au nom de la firme, mais renvoie également</w:t>
      </w:r>
    </w:p>
    <w:p w:rsidR="00300DE5" w:rsidRDefault="00300DE5">
      <w:pPr>
        <w:spacing w:line="1" w:lineRule="exact"/>
        <w:rPr>
          <w:sz w:val="20"/>
          <w:szCs w:val="20"/>
        </w:rPr>
      </w:pPr>
    </w:p>
    <w:p w:rsidR="00300DE5" w:rsidRDefault="00406716">
      <w:pPr>
        <w:numPr>
          <w:ilvl w:val="0"/>
          <w:numId w:val="3"/>
        </w:numPr>
        <w:tabs>
          <w:tab w:val="left" w:pos="170"/>
        </w:tabs>
        <w:spacing w:line="267" w:lineRule="auto"/>
        <w:ind w:left="4" w:right="880" w:hanging="4"/>
        <w:rPr>
          <w:rFonts w:ascii="Arial" w:eastAsia="Arial" w:hAnsi="Arial" w:cs="Arial"/>
          <w:sz w:val="24"/>
          <w:szCs w:val="24"/>
        </w:rPr>
      </w:pPr>
      <w:r>
        <w:rPr>
          <w:rFonts w:ascii="Arial" w:eastAsia="Arial" w:hAnsi="Arial" w:cs="Arial"/>
          <w:sz w:val="24"/>
          <w:szCs w:val="24"/>
        </w:rPr>
        <w:t xml:space="preserve">un </w:t>
      </w:r>
      <w:r>
        <w:rPr>
          <w:rFonts w:ascii="Arial" w:eastAsia="Arial" w:hAnsi="Arial" w:cs="Arial"/>
          <w:sz w:val="24"/>
          <w:szCs w:val="24"/>
        </w:rPr>
        <w:t>signifié ayant une forte connotation affective. De plus, la triade « mystic – emotion – triumph » joue également sur une forte connotation affective.</w:t>
      </w:r>
    </w:p>
    <w:p w:rsidR="00300DE5" w:rsidRDefault="00300DE5">
      <w:pPr>
        <w:spacing w:line="263" w:lineRule="exact"/>
        <w:rPr>
          <w:sz w:val="20"/>
          <w:szCs w:val="20"/>
        </w:rPr>
      </w:pPr>
    </w:p>
    <w:p w:rsidR="00300DE5" w:rsidRDefault="00406716">
      <w:pPr>
        <w:numPr>
          <w:ilvl w:val="0"/>
          <w:numId w:val="4"/>
        </w:numPr>
        <w:tabs>
          <w:tab w:val="left" w:pos="724"/>
        </w:tabs>
        <w:ind w:left="724" w:hanging="364"/>
        <w:rPr>
          <w:rFonts w:ascii="Symbol" w:eastAsia="Symbol" w:hAnsi="Symbol" w:cs="Symbol"/>
          <w:sz w:val="48"/>
          <w:szCs w:val="48"/>
          <w:vertAlign w:val="superscript"/>
        </w:rPr>
      </w:pPr>
      <w:r>
        <w:rPr>
          <w:rFonts w:ascii="Arial" w:eastAsia="Arial" w:hAnsi="Arial" w:cs="Arial"/>
          <w:b/>
          <w:bCs/>
          <w:sz w:val="24"/>
          <w:szCs w:val="24"/>
        </w:rPr>
        <w:t>Logo « Triumph international » :</w:t>
      </w:r>
    </w:p>
    <w:p w:rsidR="00300DE5" w:rsidRDefault="0040671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450850</wp:posOffset>
            </wp:positionH>
            <wp:positionV relativeFrom="paragraph">
              <wp:posOffset>-89535</wp:posOffset>
            </wp:positionV>
            <wp:extent cx="2178050" cy="27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78050" cy="27940"/>
                    </a:xfrm>
                    <a:prstGeom prst="rect">
                      <a:avLst/>
                    </a:prstGeom>
                    <a:noFill/>
                  </pic:spPr>
                </pic:pic>
              </a:graphicData>
            </a:graphic>
          </wp:anchor>
        </w:drawing>
      </w:r>
    </w:p>
    <w:p w:rsidR="00300DE5" w:rsidRDefault="00300DE5">
      <w:pPr>
        <w:spacing w:line="187" w:lineRule="exact"/>
        <w:rPr>
          <w:sz w:val="20"/>
          <w:szCs w:val="20"/>
        </w:rPr>
      </w:pPr>
    </w:p>
    <w:p w:rsidR="00300DE5" w:rsidRDefault="00406716">
      <w:pPr>
        <w:ind w:left="4" w:right="780"/>
        <w:rPr>
          <w:sz w:val="20"/>
          <w:szCs w:val="20"/>
        </w:rPr>
      </w:pPr>
      <w:r>
        <w:rPr>
          <w:rFonts w:ascii="Arial" w:eastAsia="Arial" w:hAnsi="Arial" w:cs="Arial"/>
          <w:sz w:val="24"/>
          <w:szCs w:val="24"/>
        </w:rPr>
        <w:t>Ce texte a également une fonction d’ancrage par rapport à la marque e</w:t>
      </w:r>
      <w:r>
        <w:rPr>
          <w:rFonts w:ascii="Arial" w:eastAsia="Arial" w:hAnsi="Arial" w:cs="Arial"/>
          <w:sz w:val="24"/>
          <w:szCs w:val="24"/>
        </w:rPr>
        <w:t>t au produit. On retrouve le même jeu de dénotation – connotation sur le mot « triumph ». On note aussi la redondance du signe « triumph » dans l’affiche (3 occurrences), ce qui amplifie la fonction d’ancrage.</w:t>
      </w:r>
    </w:p>
    <w:p w:rsidR="00300DE5" w:rsidRDefault="00406716">
      <w:pPr>
        <w:ind w:left="4" w:right="620"/>
        <w:jc w:val="both"/>
        <w:rPr>
          <w:sz w:val="20"/>
          <w:szCs w:val="20"/>
        </w:rPr>
      </w:pPr>
      <w:r>
        <w:rPr>
          <w:rFonts w:ascii="Arial" w:eastAsia="Arial" w:hAnsi="Arial" w:cs="Arial"/>
          <w:sz w:val="24"/>
          <w:szCs w:val="24"/>
        </w:rPr>
        <w:t>La place et la taille du logo (en haut, propor</w:t>
      </w:r>
      <w:r>
        <w:rPr>
          <w:rFonts w:ascii="Arial" w:eastAsia="Arial" w:hAnsi="Arial" w:cs="Arial"/>
          <w:sz w:val="24"/>
          <w:szCs w:val="24"/>
        </w:rPr>
        <w:t>tionnel au visage du mannequin) entraînent une identification de la marque au visage, une sorte de personnification de la marque assurée par le mannequin.</w:t>
      </w:r>
    </w:p>
    <w:p w:rsidR="00300DE5" w:rsidRDefault="00406716">
      <w:pPr>
        <w:ind w:left="4"/>
        <w:rPr>
          <w:sz w:val="20"/>
          <w:szCs w:val="20"/>
        </w:rPr>
      </w:pPr>
      <w:r>
        <w:rPr>
          <w:rFonts w:ascii="Arial" w:eastAsia="Arial" w:hAnsi="Arial" w:cs="Arial"/>
          <w:sz w:val="24"/>
          <w:szCs w:val="24"/>
        </w:rPr>
        <w:t>La typologie est en italique et épaisse.</w:t>
      </w:r>
    </w:p>
    <w:p w:rsidR="00300DE5" w:rsidRDefault="00406716">
      <w:pPr>
        <w:spacing w:line="267" w:lineRule="auto"/>
        <w:ind w:left="4" w:right="760"/>
        <w:rPr>
          <w:sz w:val="20"/>
          <w:szCs w:val="20"/>
        </w:rPr>
      </w:pPr>
      <w:r>
        <w:rPr>
          <w:rFonts w:ascii="Arial" w:eastAsia="Arial" w:hAnsi="Arial" w:cs="Arial"/>
          <w:sz w:val="24"/>
          <w:szCs w:val="24"/>
        </w:rPr>
        <w:t xml:space="preserve">Le signe « international » vient compléter la </w:t>
      </w:r>
      <w:r>
        <w:rPr>
          <w:rFonts w:ascii="Arial" w:eastAsia="Arial" w:hAnsi="Arial" w:cs="Arial"/>
          <w:sz w:val="24"/>
          <w:szCs w:val="24"/>
        </w:rPr>
        <w:t>fonction d’ancrage de la marque, et ajoute une dimension planétaire, la marque est « partout ».</w:t>
      </w: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330" w:lineRule="exact"/>
        <w:rPr>
          <w:sz w:val="20"/>
          <w:szCs w:val="20"/>
        </w:rPr>
      </w:pPr>
    </w:p>
    <w:p w:rsidR="00300DE5" w:rsidRDefault="00406716">
      <w:pPr>
        <w:ind w:left="4"/>
        <w:rPr>
          <w:sz w:val="20"/>
          <w:szCs w:val="20"/>
        </w:rPr>
      </w:pPr>
      <w:r>
        <w:rPr>
          <w:rFonts w:ascii="Arial" w:eastAsia="Arial" w:hAnsi="Arial" w:cs="Arial"/>
          <w:b/>
          <w:bCs/>
          <w:color w:val="CC0000"/>
          <w:sz w:val="24"/>
          <w:szCs w:val="24"/>
        </w:rPr>
        <w:t>L’image : analyse du contenu iconique :</w:t>
      </w:r>
    </w:p>
    <w:p w:rsidR="00300DE5" w:rsidRDefault="0040671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-5715</wp:posOffset>
            </wp:positionH>
            <wp:positionV relativeFrom="paragraph">
              <wp:posOffset>-22225</wp:posOffset>
            </wp:positionV>
            <wp:extent cx="2606040" cy="26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06040" cy="26670"/>
                    </a:xfrm>
                    <a:prstGeom prst="rect">
                      <a:avLst/>
                    </a:prstGeom>
                    <a:noFill/>
                  </pic:spPr>
                </pic:pic>
              </a:graphicData>
            </a:graphic>
          </wp:anchor>
        </w:drawing>
      </w:r>
    </w:p>
    <w:p w:rsidR="00300DE5" w:rsidRDefault="00300DE5">
      <w:pPr>
        <w:spacing w:line="342" w:lineRule="exact"/>
        <w:rPr>
          <w:sz w:val="20"/>
          <w:szCs w:val="20"/>
        </w:rPr>
      </w:pPr>
    </w:p>
    <w:p w:rsidR="00300DE5" w:rsidRDefault="00406716">
      <w:pPr>
        <w:numPr>
          <w:ilvl w:val="0"/>
          <w:numId w:val="5"/>
        </w:numPr>
        <w:tabs>
          <w:tab w:val="left" w:pos="724"/>
        </w:tabs>
        <w:ind w:left="724" w:hanging="364"/>
        <w:rPr>
          <w:rFonts w:ascii="Symbol" w:eastAsia="Symbol" w:hAnsi="Symbol" w:cs="Symbol"/>
          <w:sz w:val="48"/>
          <w:szCs w:val="48"/>
          <w:vertAlign w:val="superscript"/>
        </w:rPr>
      </w:pPr>
      <w:r>
        <w:rPr>
          <w:rFonts w:ascii="Arial" w:eastAsia="Arial" w:hAnsi="Arial" w:cs="Arial"/>
          <w:b/>
          <w:bCs/>
          <w:sz w:val="24"/>
          <w:szCs w:val="24"/>
        </w:rPr>
        <w:t>Message dénoté, « sans code » :</w:t>
      </w:r>
    </w:p>
    <w:p w:rsidR="00300DE5" w:rsidRDefault="0040671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450850</wp:posOffset>
            </wp:positionH>
            <wp:positionV relativeFrom="paragraph">
              <wp:posOffset>-88265</wp:posOffset>
            </wp:positionV>
            <wp:extent cx="2040890" cy="266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40890" cy="26670"/>
                    </a:xfrm>
                    <a:prstGeom prst="rect">
                      <a:avLst/>
                    </a:prstGeom>
                    <a:noFill/>
                  </pic:spPr>
                </pic:pic>
              </a:graphicData>
            </a:graphic>
          </wp:anchor>
        </w:drawing>
      </w:r>
    </w:p>
    <w:p w:rsidR="00300DE5" w:rsidRDefault="00300DE5">
      <w:pPr>
        <w:spacing w:line="189" w:lineRule="exact"/>
        <w:rPr>
          <w:sz w:val="20"/>
          <w:szCs w:val="20"/>
        </w:rPr>
      </w:pPr>
    </w:p>
    <w:p w:rsidR="00300DE5" w:rsidRDefault="00406716">
      <w:pPr>
        <w:spacing w:line="274" w:lineRule="auto"/>
        <w:ind w:left="4" w:right="560"/>
        <w:rPr>
          <w:sz w:val="20"/>
          <w:szCs w:val="20"/>
        </w:rPr>
      </w:pPr>
      <w:r>
        <w:rPr>
          <w:rFonts w:ascii="Arial" w:eastAsia="Arial" w:hAnsi="Arial" w:cs="Arial"/>
          <w:sz w:val="21"/>
          <w:szCs w:val="21"/>
        </w:rPr>
        <w:t>L’image est une photo de face, en taille réelle. Elle établit un rapport direct</w:t>
      </w:r>
      <w:r>
        <w:rPr>
          <w:rFonts w:ascii="Arial" w:eastAsia="Arial" w:hAnsi="Arial" w:cs="Arial"/>
          <w:sz w:val="21"/>
          <w:szCs w:val="21"/>
        </w:rPr>
        <w:t xml:space="preserve"> de face à face avec le lecteur de l’image qui attend son bus. Ceci renforce la fonction d’interpellation et d’injonction soulignée dans l’analyse du slogan «Ne ratez pas votre bus ! ». L’image est mise</w:t>
      </w:r>
    </w:p>
    <w:p w:rsidR="00300DE5" w:rsidRDefault="00300DE5">
      <w:pPr>
        <w:spacing w:line="1" w:lineRule="exact"/>
        <w:rPr>
          <w:sz w:val="20"/>
          <w:szCs w:val="20"/>
        </w:rPr>
      </w:pPr>
    </w:p>
    <w:p w:rsidR="00300DE5" w:rsidRDefault="00406716">
      <w:pPr>
        <w:numPr>
          <w:ilvl w:val="0"/>
          <w:numId w:val="6"/>
        </w:numPr>
        <w:tabs>
          <w:tab w:val="left" w:pos="170"/>
        </w:tabs>
        <w:ind w:left="4" w:right="1260" w:hanging="4"/>
        <w:rPr>
          <w:rFonts w:ascii="Arial" w:eastAsia="Arial" w:hAnsi="Arial" w:cs="Arial"/>
          <w:sz w:val="24"/>
          <w:szCs w:val="24"/>
        </w:rPr>
      </w:pPr>
      <w:r>
        <w:rPr>
          <w:rFonts w:ascii="Arial" w:eastAsia="Arial" w:hAnsi="Arial" w:cs="Arial"/>
          <w:sz w:val="24"/>
          <w:szCs w:val="24"/>
        </w:rPr>
        <w:t>niveau du lecteur, elle est ainsi rendue crédible »,</w:t>
      </w:r>
      <w:r>
        <w:rPr>
          <w:rFonts w:ascii="Arial" w:eastAsia="Arial" w:hAnsi="Arial" w:cs="Arial"/>
          <w:sz w:val="24"/>
          <w:szCs w:val="24"/>
        </w:rPr>
        <w:t xml:space="preserve"> cohérente en termes de taille et de proximité physiques.</w:t>
      </w:r>
    </w:p>
    <w:p w:rsidR="00300DE5" w:rsidRDefault="00406716">
      <w:pPr>
        <w:ind w:left="4" w:right="480"/>
        <w:rPr>
          <w:rFonts w:ascii="Arial" w:eastAsia="Arial" w:hAnsi="Arial" w:cs="Arial"/>
          <w:sz w:val="24"/>
          <w:szCs w:val="24"/>
        </w:rPr>
      </w:pPr>
      <w:r>
        <w:rPr>
          <w:rFonts w:ascii="Arial" w:eastAsia="Arial" w:hAnsi="Arial" w:cs="Arial"/>
          <w:sz w:val="24"/>
          <w:szCs w:val="24"/>
        </w:rPr>
        <w:t>Le regard est guidé verticalement par le corps longiligne et grand du mannequin, qui assure le lien visuel vertical. Le corps est ponctué par le logo et les slogans.</w:t>
      </w:r>
    </w:p>
    <w:p w:rsidR="00300DE5" w:rsidRDefault="00406716">
      <w:pPr>
        <w:spacing w:line="287" w:lineRule="auto"/>
        <w:ind w:left="4" w:right="480"/>
        <w:rPr>
          <w:rFonts w:ascii="Arial" w:eastAsia="Arial" w:hAnsi="Arial" w:cs="Arial"/>
          <w:sz w:val="24"/>
          <w:szCs w:val="24"/>
        </w:rPr>
      </w:pPr>
      <w:r>
        <w:rPr>
          <w:rFonts w:ascii="Arial" w:eastAsia="Arial" w:hAnsi="Arial" w:cs="Arial"/>
        </w:rPr>
        <w:t xml:space="preserve">L’image montre une gamme </w:t>
      </w:r>
      <w:r>
        <w:rPr>
          <w:rFonts w:ascii="Arial" w:eastAsia="Arial" w:hAnsi="Arial" w:cs="Arial"/>
        </w:rPr>
        <w:t>chromatique de couleurs chaudes, du brun au rouge, contrastée par la présence de la couleur noire. Le corps est également mis en valeur par un ton clair de la peau, dont la luminosité tranche par rapport au fondu brun du dernier plan.</w:t>
      </w:r>
    </w:p>
    <w:p w:rsidR="00300DE5" w:rsidRDefault="00300DE5">
      <w:pPr>
        <w:spacing w:line="246" w:lineRule="exact"/>
        <w:rPr>
          <w:sz w:val="20"/>
          <w:szCs w:val="20"/>
        </w:rPr>
      </w:pPr>
    </w:p>
    <w:p w:rsidR="00300DE5" w:rsidRDefault="00406716">
      <w:pPr>
        <w:numPr>
          <w:ilvl w:val="0"/>
          <w:numId w:val="7"/>
        </w:numPr>
        <w:tabs>
          <w:tab w:val="left" w:pos="724"/>
        </w:tabs>
        <w:ind w:left="724" w:hanging="364"/>
        <w:rPr>
          <w:rFonts w:ascii="Symbol" w:eastAsia="Symbol" w:hAnsi="Symbol" w:cs="Symbol"/>
          <w:sz w:val="48"/>
          <w:szCs w:val="48"/>
          <w:vertAlign w:val="superscript"/>
        </w:rPr>
      </w:pPr>
      <w:r>
        <w:rPr>
          <w:rFonts w:ascii="Arial" w:eastAsia="Arial" w:hAnsi="Arial" w:cs="Arial"/>
          <w:b/>
          <w:bCs/>
          <w:sz w:val="24"/>
          <w:szCs w:val="24"/>
        </w:rPr>
        <w:t xml:space="preserve">Message </w:t>
      </w:r>
      <w:r>
        <w:rPr>
          <w:rFonts w:ascii="Arial" w:eastAsia="Arial" w:hAnsi="Arial" w:cs="Arial"/>
          <w:b/>
          <w:bCs/>
          <w:sz w:val="24"/>
          <w:szCs w:val="24"/>
        </w:rPr>
        <w:t>connoté, « avec code » :</w:t>
      </w:r>
    </w:p>
    <w:p w:rsidR="00300DE5" w:rsidRDefault="0040671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450850</wp:posOffset>
            </wp:positionH>
            <wp:positionV relativeFrom="paragraph">
              <wp:posOffset>-89535</wp:posOffset>
            </wp:positionV>
            <wp:extent cx="2127250" cy="27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27250" cy="27940"/>
                    </a:xfrm>
                    <a:prstGeom prst="rect">
                      <a:avLst/>
                    </a:prstGeom>
                    <a:noFill/>
                  </pic:spPr>
                </pic:pic>
              </a:graphicData>
            </a:graphic>
          </wp:anchor>
        </w:drawing>
      </w:r>
    </w:p>
    <w:p w:rsidR="00300DE5" w:rsidRDefault="00300DE5">
      <w:pPr>
        <w:spacing w:line="187" w:lineRule="exact"/>
        <w:rPr>
          <w:sz w:val="20"/>
          <w:szCs w:val="20"/>
        </w:rPr>
      </w:pPr>
    </w:p>
    <w:p w:rsidR="00300DE5" w:rsidRDefault="00406716">
      <w:pPr>
        <w:ind w:left="4"/>
        <w:rPr>
          <w:sz w:val="20"/>
          <w:szCs w:val="20"/>
        </w:rPr>
      </w:pPr>
      <w:r>
        <w:rPr>
          <w:rFonts w:ascii="Arial" w:eastAsia="Arial" w:hAnsi="Arial" w:cs="Arial"/>
          <w:sz w:val="24"/>
          <w:szCs w:val="24"/>
        </w:rPr>
        <w:t>Cette affiche a également des « effets culturels ».</w:t>
      </w:r>
    </w:p>
    <w:p w:rsidR="00300DE5" w:rsidRDefault="00406716">
      <w:pPr>
        <w:spacing w:line="238" w:lineRule="auto"/>
        <w:ind w:left="4" w:right="500"/>
        <w:rPr>
          <w:sz w:val="20"/>
          <w:szCs w:val="20"/>
        </w:rPr>
      </w:pPr>
      <w:r>
        <w:rPr>
          <w:rFonts w:ascii="Arial" w:eastAsia="Arial" w:hAnsi="Arial" w:cs="Arial"/>
          <w:sz w:val="24"/>
          <w:szCs w:val="24"/>
        </w:rPr>
        <w:t>Le mannequin renvoie de manière générale à l’archétype de la femme idéale, qu’il s’agisse de la mère, de la compagne, de l’amante. En effet, selon des canons actuels de la beau</w:t>
      </w:r>
      <w:r>
        <w:rPr>
          <w:rFonts w:ascii="Arial" w:eastAsia="Arial" w:hAnsi="Arial" w:cs="Arial"/>
          <w:sz w:val="24"/>
          <w:szCs w:val="24"/>
        </w:rPr>
        <w:t>té, la femme doit être grande, filiforme, blonde, jolie, avoir une poitrine développée. On peut également penser à la bienveillance de la mère, qui nous demande de ne pas rater le bus. L’image de cette femme, peu vêtue, sans artifice, fait penser à Eve, la</w:t>
      </w:r>
      <w:r>
        <w:rPr>
          <w:rFonts w:ascii="Arial" w:eastAsia="Arial" w:hAnsi="Arial" w:cs="Arial"/>
          <w:sz w:val="24"/>
          <w:szCs w:val="24"/>
        </w:rPr>
        <w:t xml:space="preserve"> première femme, avec une valeur d’originarité.</w:t>
      </w:r>
    </w:p>
    <w:p w:rsidR="00300DE5" w:rsidRDefault="00300DE5">
      <w:pPr>
        <w:spacing w:line="1" w:lineRule="exact"/>
        <w:rPr>
          <w:sz w:val="20"/>
          <w:szCs w:val="20"/>
        </w:rPr>
      </w:pPr>
    </w:p>
    <w:p w:rsidR="00300DE5" w:rsidRDefault="00406716">
      <w:pPr>
        <w:spacing w:line="325" w:lineRule="auto"/>
        <w:ind w:left="4"/>
        <w:rPr>
          <w:sz w:val="20"/>
          <w:szCs w:val="20"/>
        </w:rPr>
      </w:pPr>
      <w:r>
        <w:rPr>
          <w:rFonts w:ascii="Arial" w:eastAsia="Arial" w:hAnsi="Arial" w:cs="Arial"/>
        </w:rPr>
        <w:t xml:space="preserve">Le mannequin, par sa position et son attitude, fait penser à </w:t>
      </w:r>
      <w:r>
        <w:rPr>
          <w:rFonts w:ascii="Arial" w:eastAsia="Arial" w:hAnsi="Arial" w:cs="Arial"/>
          <w:i/>
          <w:iCs/>
        </w:rPr>
        <w:t>La naissance de Vénus</w:t>
      </w:r>
      <w:r>
        <w:rPr>
          <w:rFonts w:ascii="Arial" w:eastAsia="Arial" w:hAnsi="Arial" w:cs="Arial"/>
        </w:rPr>
        <w:t>, de Sandro BOTTICELLI. La stature droite et les cheveux clairs vaporeux, en mouvement, sont autant</w:t>
      </w:r>
    </w:p>
    <w:p w:rsidR="00300DE5" w:rsidRDefault="00300DE5">
      <w:pPr>
        <w:sectPr w:rsidR="00300DE5">
          <w:pgSz w:w="11900" w:h="16840"/>
          <w:pgMar w:top="1440" w:right="1020" w:bottom="132" w:left="1416" w:header="0" w:footer="0" w:gutter="0"/>
          <w:cols w:space="720" w:equalWidth="0">
            <w:col w:w="9464"/>
          </w:cols>
        </w:sect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342" w:lineRule="exact"/>
        <w:rPr>
          <w:sz w:val="20"/>
          <w:szCs w:val="20"/>
        </w:rPr>
      </w:pPr>
    </w:p>
    <w:p w:rsidR="00300DE5" w:rsidRPr="00406716" w:rsidRDefault="00300DE5" w:rsidP="00406716">
      <w:pPr>
        <w:ind w:right="376"/>
        <w:jc w:val="center"/>
        <w:rPr>
          <w:sz w:val="20"/>
          <w:szCs w:val="20"/>
        </w:rPr>
        <w:sectPr w:rsidR="00300DE5" w:rsidRPr="00406716">
          <w:type w:val="continuous"/>
          <w:pgSz w:w="11900" w:h="16840"/>
          <w:pgMar w:top="1440" w:right="1020" w:bottom="132" w:left="1416" w:header="0" w:footer="0" w:gutter="0"/>
          <w:cols w:space="720" w:equalWidth="0">
            <w:col w:w="9464"/>
          </w:cols>
        </w:sectPr>
      </w:pPr>
    </w:p>
    <w:p w:rsidR="00300DE5" w:rsidRDefault="00300DE5">
      <w:pPr>
        <w:spacing w:line="15" w:lineRule="exact"/>
        <w:rPr>
          <w:sz w:val="20"/>
          <w:szCs w:val="20"/>
        </w:rPr>
      </w:pPr>
      <w:bookmarkStart w:id="3" w:name="page4"/>
      <w:bookmarkEnd w:id="3"/>
    </w:p>
    <w:p w:rsidR="00300DE5" w:rsidRDefault="00406716">
      <w:pPr>
        <w:spacing w:line="267" w:lineRule="auto"/>
        <w:ind w:right="40"/>
        <w:rPr>
          <w:sz w:val="20"/>
          <w:szCs w:val="20"/>
        </w:rPr>
      </w:pPr>
      <w:r>
        <w:rPr>
          <w:rFonts w:ascii="Arial" w:eastAsia="Arial" w:hAnsi="Arial" w:cs="Arial"/>
          <w:sz w:val="24"/>
          <w:szCs w:val="24"/>
        </w:rPr>
        <w:t>d’éléments que l’on retrouve dans le tableau du Maître. Sont ainsi associées au mannequin les valeurs inérantes à la déesse.</w:t>
      </w: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330" w:lineRule="exact"/>
        <w:rPr>
          <w:sz w:val="20"/>
          <w:szCs w:val="20"/>
        </w:rPr>
      </w:pPr>
    </w:p>
    <w:p w:rsidR="00300DE5" w:rsidRDefault="00406716">
      <w:pPr>
        <w:rPr>
          <w:sz w:val="20"/>
          <w:szCs w:val="20"/>
        </w:rPr>
      </w:pPr>
      <w:r>
        <w:rPr>
          <w:rFonts w:ascii="Arial" w:eastAsia="Arial" w:hAnsi="Arial" w:cs="Arial"/>
          <w:b/>
          <w:bCs/>
          <w:color w:val="CC0000"/>
          <w:sz w:val="24"/>
          <w:szCs w:val="24"/>
        </w:rPr>
        <w:t>Conclusion :</w:t>
      </w:r>
    </w:p>
    <w:p w:rsidR="00300DE5" w:rsidRDefault="0040671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-8255</wp:posOffset>
            </wp:positionH>
            <wp:positionV relativeFrom="paragraph">
              <wp:posOffset>-23495</wp:posOffset>
            </wp:positionV>
            <wp:extent cx="830580" cy="279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30580" cy="27940"/>
                    </a:xfrm>
                    <a:prstGeom prst="rect">
                      <a:avLst/>
                    </a:prstGeom>
                    <a:noFill/>
                  </pic:spPr>
                </pic:pic>
              </a:graphicData>
            </a:graphic>
          </wp:anchor>
        </w:drawing>
      </w:r>
    </w:p>
    <w:p w:rsidR="00300DE5" w:rsidRDefault="00300DE5">
      <w:pPr>
        <w:spacing w:line="292" w:lineRule="exact"/>
        <w:rPr>
          <w:sz w:val="20"/>
          <w:szCs w:val="20"/>
        </w:rPr>
      </w:pPr>
    </w:p>
    <w:p w:rsidR="00300DE5" w:rsidRDefault="00406716">
      <w:pPr>
        <w:spacing w:line="245" w:lineRule="auto"/>
        <w:rPr>
          <w:sz w:val="20"/>
          <w:szCs w:val="20"/>
        </w:rPr>
      </w:pPr>
      <w:r>
        <w:rPr>
          <w:rFonts w:ascii="Arial" w:eastAsia="Arial" w:hAnsi="Arial" w:cs="Arial"/>
          <w:sz w:val="24"/>
          <w:szCs w:val="24"/>
        </w:rPr>
        <w:t xml:space="preserve">La présence d’un slogan (« Ne ratez pas votre bus »), « en décalage » par </w:t>
      </w:r>
      <w:r>
        <w:rPr>
          <w:rFonts w:ascii="Arial" w:eastAsia="Arial" w:hAnsi="Arial" w:cs="Arial"/>
          <w:sz w:val="24"/>
          <w:szCs w:val="24"/>
        </w:rPr>
        <w:t>rapport au contenu de l’image, semble tout à fait intéressante par le choix qui a été fait de mettre l’affiche dans un contexte spécial. L’affiche a été spécialement conçue pour les arrêts de bus, et ce slogan assure la mise en relation entre le contenu et</w:t>
      </w:r>
      <w:r>
        <w:rPr>
          <w:rFonts w:ascii="Arial" w:eastAsia="Arial" w:hAnsi="Arial" w:cs="Arial"/>
          <w:sz w:val="24"/>
          <w:szCs w:val="24"/>
        </w:rPr>
        <w:t xml:space="preserve"> son contexte. Cette approche de l’image par le contexte dans lequel elle sera affichée semble pertinente. Elle donne une signification, une vie nouvelle à l’image.</w:t>
      </w:r>
    </w:p>
    <w:p w:rsidR="00300DE5" w:rsidRDefault="00300DE5">
      <w:pPr>
        <w:sectPr w:rsidR="00300DE5">
          <w:pgSz w:w="11900" w:h="16840"/>
          <w:pgMar w:top="1440" w:right="1440" w:bottom="132" w:left="1420" w:header="0" w:footer="0" w:gutter="0"/>
          <w:cols w:space="720" w:equalWidth="0">
            <w:col w:w="9040"/>
          </w:cols>
        </w:sect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00" w:lineRule="exact"/>
        <w:rPr>
          <w:sz w:val="20"/>
          <w:szCs w:val="20"/>
        </w:rPr>
      </w:pPr>
    </w:p>
    <w:p w:rsidR="00300DE5" w:rsidRDefault="00300DE5">
      <w:pPr>
        <w:spacing w:line="214" w:lineRule="exact"/>
        <w:rPr>
          <w:sz w:val="20"/>
          <w:szCs w:val="20"/>
        </w:rPr>
      </w:pPr>
    </w:p>
    <w:p w:rsidR="00300DE5" w:rsidRDefault="00300DE5">
      <w:pPr>
        <w:ind w:right="-39"/>
        <w:jc w:val="center"/>
        <w:rPr>
          <w:sz w:val="20"/>
          <w:szCs w:val="20"/>
        </w:rPr>
      </w:pPr>
    </w:p>
    <w:sectPr w:rsidR="00300DE5">
      <w:type w:val="continuous"/>
      <w:pgSz w:w="11900" w:h="16840"/>
      <w:pgMar w:top="1440" w:right="1440" w:bottom="132" w:left="142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D91A73E2"/>
    <w:lvl w:ilvl="0" w:tplc="15CC798E">
      <w:start w:val="1"/>
      <w:numFmt w:val="bullet"/>
      <w:lvlText w:val=""/>
      <w:lvlJc w:val="left"/>
    </w:lvl>
    <w:lvl w:ilvl="1" w:tplc="AE8A95AE">
      <w:numFmt w:val="decimal"/>
      <w:lvlText w:val=""/>
      <w:lvlJc w:val="left"/>
    </w:lvl>
    <w:lvl w:ilvl="2" w:tplc="C91CB292">
      <w:numFmt w:val="decimal"/>
      <w:lvlText w:val=""/>
      <w:lvlJc w:val="left"/>
    </w:lvl>
    <w:lvl w:ilvl="3" w:tplc="009228FA">
      <w:numFmt w:val="decimal"/>
      <w:lvlText w:val=""/>
      <w:lvlJc w:val="left"/>
    </w:lvl>
    <w:lvl w:ilvl="4" w:tplc="636202B4">
      <w:numFmt w:val="decimal"/>
      <w:lvlText w:val=""/>
      <w:lvlJc w:val="left"/>
    </w:lvl>
    <w:lvl w:ilvl="5" w:tplc="286622FE">
      <w:numFmt w:val="decimal"/>
      <w:lvlText w:val=""/>
      <w:lvlJc w:val="left"/>
    </w:lvl>
    <w:lvl w:ilvl="6" w:tplc="BEDA5A6E">
      <w:numFmt w:val="decimal"/>
      <w:lvlText w:val=""/>
      <w:lvlJc w:val="left"/>
    </w:lvl>
    <w:lvl w:ilvl="7" w:tplc="B8A62A38">
      <w:numFmt w:val="decimal"/>
      <w:lvlText w:val=""/>
      <w:lvlJc w:val="left"/>
    </w:lvl>
    <w:lvl w:ilvl="8" w:tplc="19206590">
      <w:numFmt w:val="decimal"/>
      <w:lvlText w:val=""/>
      <w:lvlJc w:val="left"/>
    </w:lvl>
  </w:abstractNum>
  <w:abstractNum w:abstractNumId="1" w15:restartNumberingAfterBreak="0">
    <w:nsid w:val="2EB141F2"/>
    <w:multiLevelType w:val="hybridMultilevel"/>
    <w:tmpl w:val="F5D0E7F2"/>
    <w:lvl w:ilvl="0" w:tplc="EBF22D3A">
      <w:start w:val="1"/>
      <w:numFmt w:val="bullet"/>
      <w:lvlText w:val="à"/>
      <w:lvlJc w:val="left"/>
    </w:lvl>
    <w:lvl w:ilvl="1" w:tplc="6AA4A438">
      <w:numFmt w:val="decimal"/>
      <w:lvlText w:val=""/>
      <w:lvlJc w:val="left"/>
    </w:lvl>
    <w:lvl w:ilvl="2" w:tplc="A9FE0B8C">
      <w:numFmt w:val="decimal"/>
      <w:lvlText w:val=""/>
      <w:lvlJc w:val="left"/>
    </w:lvl>
    <w:lvl w:ilvl="3" w:tplc="6E0E98B2">
      <w:numFmt w:val="decimal"/>
      <w:lvlText w:val=""/>
      <w:lvlJc w:val="left"/>
    </w:lvl>
    <w:lvl w:ilvl="4" w:tplc="8FA2DECA">
      <w:numFmt w:val="decimal"/>
      <w:lvlText w:val=""/>
      <w:lvlJc w:val="left"/>
    </w:lvl>
    <w:lvl w:ilvl="5" w:tplc="A4527B62">
      <w:numFmt w:val="decimal"/>
      <w:lvlText w:val=""/>
      <w:lvlJc w:val="left"/>
    </w:lvl>
    <w:lvl w:ilvl="6" w:tplc="BE3CA6B8">
      <w:numFmt w:val="decimal"/>
      <w:lvlText w:val=""/>
      <w:lvlJc w:val="left"/>
    </w:lvl>
    <w:lvl w:ilvl="7" w:tplc="82403254">
      <w:numFmt w:val="decimal"/>
      <w:lvlText w:val=""/>
      <w:lvlJc w:val="left"/>
    </w:lvl>
    <w:lvl w:ilvl="8" w:tplc="1B167E86">
      <w:numFmt w:val="decimal"/>
      <w:lvlText w:val=""/>
      <w:lvlJc w:val="left"/>
    </w:lvl>
  </w:abstractNum>
  <w:abstractNum w:abstractNumId="2" w15:restartNumberingAfterBreak="0">
    <w:nsid w:val="3D1B58BA"/>
    <w:multiLevelType w:val="hybridMultilevel"/>
    <w:tmpl w:val="BDCA6DC6"/>
    <w:lvl w:ilvl="0" w:tplc="B0C28C5C">
      <w:start w:val="1"/>
      <w:numFmt w:val="bullet"/>
      <w:lvlText w:val=""/>
      <w:lvlJc w:val="left"/>
    </w:lvl>
    <w:lvl w:ilvl="1" w:tplc="2320D994">
      <w:numFmt w:val="decimal"/>
      <w:lvlText w:val=""/>
      <w:lvlJc w:val="left"/>
    </w:lvl>
    <w:lvl w:ilvl="2" w:tplc="BF3E58F8">
      <w:numFmt w:val="decimal"/>
      <w:lvlText w:val=""/>
      <w:lvlJc w:val="left"/>
    </w:lvl>
    <w:lvl w:ilvl="3" w:tplc="B672DFE0">
      <w:numFmt w:val="decimal"/>
      <w:lvlText w:val=""/>
      <w:lvlJc w:val="left"/>
    </w:lvl>
    <w:lvl w:ilvl="4" w:tplc="4A6A5346">
      <w:numFmt w:val="decimal"/>
      <w:lvlText w:val=""/>
      <w:lvlJc w:val="left"/>
    </w:lvl>
    <w:lvl w:ilvl="5" w:tplc="081A1804">
      <w:numFmt w:val="decimal"/>
      <w:lvlText w:val=""/>
      <w:lvlJc w:val="left"/>
    </w:lvl>
    <w:lvl w:ilvl="6" w:tplc="D7D81EBA">
      <w:numFmt w:val="decimal"/>
      <w:lvlText w:val=""/>
      <w:lvlJc w:val="left"/>
    </w:lvl>
    <w:lvl w:ilvl="7" w:tplc="1CEC052C">
      <w:numFmt w:val="decimal"/>
      <w:lvlText w:val=""/>
      <w:lvlJc w:val="left"/>
    </w:lvl>
    <w:lvl w:ilvl="8" w:tplc="AFBA27A2">
      <w:numFmt w:val="decimal"/>
      <w:lvlText w:val=""/>
      <w:lvlJc w:val="left"/>
    </w:lvl>
  </w:abstractNum>
  <w:abstractNum w:abstractNumId="3" w15:restartNumberingAfterBreak="0">
    <w:nsid w:val="41B71EFB"/>
    <w:multiLevelType w:val="hybridMultilevel"/>
    <w:tmpl w:val="4BD47CFE"/>
    <w:lvl w:ilvl="0" w:tplc="983E2D52">
      <w:start w:val="1"/>
      <w:numFmt w:val="bullet"/>
      <w:lvlText w:val=""/>
      <w:lvlJc w:val="left"/>
    </w:lvl>
    <w:lvl w:ilvl="1" w:tplc="286ABDE6">
      <w:numFmt w:val="decimal"/>
      <w:lvlText w:val=""/>
      <w:lvlJc w:val="left"/>
    </w:lvl>
    <w:lvl w:ilvl="2" w:tplc="C3CA97A2">
      <w:numFmt w:val="decimal"/>
      <w:lvlText w:val=""/>
      <w:lvlJc w:val="left"/>
    </w:lvl>
    <w:lvl w:ilvl="3" w:tplc="91C6CAAE">
      <w:numFmt w:val="decimal"/>
      <w:lvlText w:val=""/>
      <w:lvlJc w:val="left"/>
    </w:lvl>
    <w:lvl w:ilvl="4" w:tplc="FC36653E">
      <w:numFmt w:val="decimal"/>
      <w:lvlText w:val=""/>
      <w:lvlJc w:val="left"/>
    </w:lvl>
    <w:lvl w:ilvl="5" w:tplc="51AA70A2">
      <w:numFmt w:val="decimal"/>
      <w:lvlText w:val=""/>
      <w:lvlJc w:val="left"/>
    </w:lvl>
    <w:lvl w:ilvl="6" w:tplc="6078369C">
      <w:numFmt w:val="decimal"/>
      <w:lvlText w:val=""/>
      <w:lvlJc w:val="left"/>
    </w:lvl>
    <w:lvl w:ilvl="7" w:tplc="607272AC">
      <w:numFmt w:val="decimal"/>
      <w:lvlText w:val=""/>
      <w:lvlJc w:val="left"/>
    </w:lvl>
    <w:lvl w:ilvl="8" w:tplc="88FA560A">
      <w:numFmt w:val="decimal"/>
      <w:lvlText w:val=""/>
      <w:lvlJc w:val="left"/>
    </w:lvl>
  </w:abstractNum>
  <w:abstractNum w:abstractNumId="4" w15:restartNumberingAfterBreak="0">
    <w:nsid w:val="46E87CCD"/>
    <w:multiLevelType w:val="hybridMultilevel"/>
    <w:tmpl w:val="ADF2AFA2"/>
    <w:lvl w:ilvl="0" w:tplc="6974DDD8">
      <w:start w:val="1"/>
      <w:numFmt w:val="bullet"/>
      <w:lvlText w:val="à"/>
      <w:lvlJc w:val="left"/>
    </w:lvl>
    <w:lvl w:ilvl="1" w:tplc="2A72B818">
      <w:numFmt w:val="decimal"/>
      <w:lvlText w:val=""/>
      <w:lvlJc w:val="left"/>
    </w:lvl>
    <w:lvl w:ilvl="2" w:tplc="DF48833C">
      <w:numFmt w:val="decimal"/>
      <w:lvlText w:val=""/>
      <w:lvlJc w:val="left"/>
    </w:lvl>
    <w:lvl w:ilvl="3" w:tplc="F836F0EA">
      <w:numFmt w:val="decimal"/>
      <w:lvlText w:val=""/>
      <w:lvlJc w:val="left"/>
    </w:lvl>
    <w:lvl w:ilvl="4" w:tplc="C0A85E92">
      <w:numFmt w:val="decimal"/>
      <w:lvlText w:val=""/>
      <w:lvlJc w:val="left"/>
    </w:lvl>
    <w:lvl w:ilvl="5" w:tplc="77244452">
      <w:numFmt w:val="decimal"/>
      <w:lvlText w:val=""/>
      <w:lvlJc w:val="left"/>
    </w:lvl>
    <w:lvl w:ilvl="6" w:tplc="580411D4">
      <w:numFmt w:val="decimal"/>
      <w:lvlText w:val=""/>
      <w:lvlJc w:val="left"/>
    </w:lvl>
    <w:lvl w:ilvl="7" w:tplc="669CFE7C">
      <w:numFmt w:val="decimal"/>
      <w:lvlText w:val=""/>
      <w:lvlJc w:val="left"/>
    </w:lvl>
    <w:lvl w:ilvl="8" w:tplc="A948CBC4">
      <w:numFmt w:val="decimal"/>
      <w:lvlText w:val=""/>
      <w:lvlJc w:val="left"/>
    </w:lvl>
  </w:abstractNum>
  <w:abstractNum w:abstractNumId="5" w15:restartNumberingAfterBreak="0">
    <w:nsid w:val="507ED7AB"/>
    <w:multiLevelType w:val="hybridMultilevel"/>
    <w:tmpl w:val="FF2621C0"/>
    <w:lvl w:ilvl="0" w:tplc="200A7954">
      <w:start w:val="1"/>
      <w:numFmt w:val="bullet"/>
      <w:lvlText w:val=""/>
      <w:lvlJc w:val="left"/>
    </w:lvl>
    <w:lvl w:ilvl="1" w:tplc="0C00C640">
      <w:numFmt w:val="decimal"/>
      <w:lvlText w:val=""/>
      <w:lvlJc w:val="left"/>
    </w:lvl>
    <w:lvl w:ilvl="2" w:tplc="40B4A6AA">
      <w:numFmt w:val="decimal"/>
      <w:lvlText w:val=""/>
      <w:lvlJc w:val="left"/>
    </w:lvl>
    <w:lvl w:ilvl="3" w:tplc="793094E4">
      <w:numFmt w:val="decimal"/>
      <w:lvlText w:val=""/>
      <w:lvlJc w:val="left"/>
    </w:lvl>
    <w:lvl w:ilvl="4" w:tplc="6100D578">
      <w:numFmt w:val="decimal"/>
      <w:lvlText w:val=""/>
      <w:lvlJc w:val="left"/>
    </w:lvl>
    <w:lvl w:ilvl="5" w:tplc="DD42C712">
      <w:numFmt w:val="decimal"/>
      <w:lvlText w:val=""/>
      <w:lvlJc w:val="left"/>
    </w:lvl>
    <w:lvl w:ilvl="6" w:tplc="7D9A0468">
      <w:numFmt w:val="decimal"/>
      <w:lvlText w:val=""/>
      <w:lvlJc w:val="left"/>
    </w:lvl>
    <w:lvl w:ilvl="7" w:tplc="7C1843C6">
      <w:numFmt w:val="decimal"/>
      <w:lvlText w:val=""/>
      <w:lvlJc w:val="left"/>
    </w:lvl>
    <w:lvl w:ilvl="8" w:tplc="73061CFA">
      <w:numFmt w:val="decimal"/>
      <w:lvlText w:val=""/>
      <w:lvlJc w:val="left"/>
    </w:lvl>
  </w:abstractNum>
  <w:abstractNum w:abstractNumId="6" w15:restartNumberingAfterBreak="0">
    <w:nsid w:val="625558EC"/>
    <w:multiLevelType w:val="hybridMultilevel"/>
    <w:tmpl w:val="B5BA4266"/>
    <w:lvl w:ilvl="0" w:tplc="CFEE7FD6">
      <w:start w:val="1"/>
      <w:numFmt w:val="bullet"/>
      <w:lvlText w:val=""/>
      <w:lvlJc w:val="left"/>
    </w:lvl>
    <w:lvl w:ilvl="1" w:tplc="9E6888DC">
      <w:numFmt w:val="decimal"/>
      <w:lvlText w:val=""/>
      <w:lvlJc w:val="left"/>
    </w:lvl>
    <w:lvl w:ilvl="2" w:tplc="DFD46D18">
      <w:numFmt w:val="decimal"/>
      <w:lvlText w:val=""/>
      <w:lvlJc w:val="left"/>
    </w:lvl>
    <w:lvl w:ilvl="3" w:tplc="C8C010B8">
      <w:numFmt w:val="decimal"/>
      <w:lvlText w:val=""/>
      <w:lvlJc w:val="left"/>
    </w:lvl>
    <w:lvl w:ilvl="4" w:tplc="E4E23796">
      <w:numFmt w:val="decimal"/>
      <w:lvlText w:val=""/>
      <w:lvlJc w:val="left"/>
    </w:lvl>
    <w:lvl w:ilvl="5" w:tplc="04046314">
      <w:numFmt w:val="decimal"/>
      <w:lvlText w:val=""/>
      <w:lvlJc w:val="left"/>
    </w:lvl>
    <w:lvl w:ilvl="6" w:tplc="598605E2">
      <w:numFmt w:val="decimal"/>
      <w:lvlText w:val=""/>
      <w:lvlJc w:val="left"/>
    </w:lvl>
    <w:lvl w:ilvl="7" w:tplc="041E4682">
      <w:numFmt w:val="decimal"/>
      <w:lvlText w:val=""/>
      <w:lvlJc w:val="left"/>
    </w:lvl>
    <w:lvl w:ilvl="8" w:tplc="37284920">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DE5"/>
    <w:rsid w:val="00300DE5"/>
    <w:rsid w:val="0040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3E62"/>
  <w15:docId w15:val="{DD3DDEB9-B809-4440-99FC-C2DAA2BC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2018-11-18T05:06:00Z</dcterms:created>
  <dcterms:modified xsi:type="dcterms:W3CDTF">2018-11-18T10:13:00Z</dcterms:modified>
</cp:coreProperties>
</file>