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E8" w:rsidRDefault="00020CEA" w:rsidP="0029710B">
      <w:pPr>
        <w:pStyle w:val="Title"/>
        <w:jc w:val="center"/>
      </w:pPr>
      <w:r>
        <w:t>Histoire de l’art : Cliché</w:t>
      </w:r>
    </w:p>
    <w:p w:rsidR="00020CEA" w:rsidRPr="0029710B" w:rsidRDefault="00020CEA" w:rsidP="00020CEA">
      <w:pPr>
        <w:jc w:val="center"/>
        <w:rPr>
          <w:rFonts w:ascii="Times New Roman" w:hAnsi="Times New Roman" w:cs="Times New Roman"/>
          <w:b/>
          <w:sz w:val="24"/>
        </w:rPr>
      </w:pPr>
      <w:r w:rsidRPr="0029710B">
        <w:rPr>
          <w:rFonts w:ascii="Times New Roman" w:hAnsi="Times New Roman" w:cs="Times New Roman"/>
          <w:b/>
          <w:sz w:val="24"/>
        </w:rPr>
        <w:t>Art Grec :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33.</w:t>
      </w:r>
      <w:r w:rsidRPr="0029710B">
        <w:rPr>
          <w:rFonts w:ascii="Times New Roman" w:hAnsi="Times New Roman" w:cs="Times New Roman"/>
          <w:sz w:val="24"/>
        </w:rPr>
        <w:tab/>
        <w:t>Cavalier Rampin (mil 6è s, tête au Louvre, corps à Athènes) et Cavalier Rampin, détail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38.</w:t>
      </w:r>
      <w:r w:rsidRPr="0029710B">
        <w:rPr>
          <w:rFonts w:ascii="Times New Roman" w:hAnsi="Times New Roman" w:cs="Times New Roman"/>
          <w:sz w:val="24"/>
        </w:rPr>
        <w:tab/>
        <w:t xml:space="preserve">Le Parthenon, 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39.</w:t>
      </w:r>
      <w:r w:rsidRPr="0029710B">
        <w:rPr>
          <w:rFonts w:ascii="Times New Roman" w:hAnsi="Times New Roman" w:cs="Times New Roman"/>
          <w:sz w:val="24"/>
        </w:rPr>
        <w:tab/>
        <w:t>Le Parthenon, intérieur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40.</w:t>
      </w:r>
      <w:r w:rsidRPr="0029710B">
        <w:rPr>
          <w:rFonts w:ascii="Times New Roman" w:hAnsi="Times New Roman" w:cs="Times New Roman"/>
          <w:sz w:val="24"/>
        </w:rPr>
        <w:tab/>
        <w:t>Plan du Parthenon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41.</w:t>
      </w:r>
      <w:r w:rsidRPr="0029710B">
        <w:rPr>
          <w:rFonts w:ascii="Times New Roman" w:hAnsi="Times New Roman" w:cs="Times New Roman"/>
          <w:sz w:val="24"/>
        </w:rPr>
        <w:tab/>
        <w:t>Statue Athena de Phidias (copie au M.archéo d’Athènes)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47.</w:t>
      </w:r>
      <w:r w:rsidRPr="0029710B">
        <w:rPr>
          <w:rFonts w:ascii="Times New Roman" w:hAnsi="Times New Roman" w:cs="Times New Roman"/>
          <w:sz w:val="24"/>
        </w:rPr>
        <w:tab/>
        <w:t>Métopes centauromachie (British Museum et M.Louvre)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48.</w:t>
      </w:r>
      <w:r w:rsidRPr="0029710B">
        <w:rPr>
          <w:rFonts w:ascii="Times New Roman" w:hAnsi="Times New Roman" w:cs="Times New Roman"/>
          <w:sz w:val="24"/>
        </w:rPr>
        <w:tab/>
        <w:t>Frise des Panathénées (M.Louvre et British Museum)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</w:p>
    <w:p w:rsidR="00020CEA" w:rsidRPr="0029710B" w:rsidRDefault="00020CEA" w:rsidP="002971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710B">
        <w:rPr>
          <w:rFonts w:ascii="Times New Roman" w:hAnsi="Times New Roman" w:cs="Times New Roman"/>
          <w:b/>
          <w:sz w:val="24"/>
        </w:rPr>
        <w:t>Moyen Age :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6.</w:t>
      </w:r>
      <w:r w:rsidRPr="0029710B">
        <w:rPr>
          <w:rFonts w:ascii="Times New Roman" w:hAnsi="Times New Roman" w:cs="Times New Roman"/>
          <w:sz w:val="24"/>
        </w:rPr>
        <w:tab/>
        <w:t>-7-8  chapelle palatine, Aix la chapelle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15.</w:t>
      </w:r>
      <w:r w:rsidRPr="0029710B">
        <w:rPr>
          <w:rFonts w:ascii="Times New Roman" w:hAnsi="Times New Roman" w:cs="Times New Roman"/>
          <w:sz w:val="24"/>
        </w:rPr>
        <w:tab/>
        <w:t>-16 Nef de St Savin sur Gartempes, 1060-1100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23.</w:t>
      </w:r>
      <w:r w:rsidRPr="0029710B">
        <w:rPr>
          <w:rFonts w:ascii="Times New Roman" w:hAnsi="Times New Roman" w:cs="Times New Roman"/>
          <w:sz w:val="24"/>
        </w:rPr>
        <w:tab/>
        <w:t>Tympan de St Lazare d’Autun, 1130-1140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27.</w:t>
      </w:r>
      <w:r w:rsidRPr="0029710B">
        <w:rPr>
          <w:rFonts w:ascii="Times New Roman" w:hAnsi="Times New Roman" w:cs="Times New Roman"/>
          <w:sz w:val="24"/>
        </w:rPr>
        <w:tab/>
        <w:t>Effigie funéraire de Geoffroy Plantagenêt, 1151, Musée Tessé, Le Mans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34.</w:t>
      </w:r>
      <w:r w:rsidRPr="0029710B">
        <w:rPr>
          <w:rFonts w:ascii="Times New Roman" w:hAnsi="Times New Roman" w:cs="Times New Roman"/>
          <w:sz w:val="24"/>
        </w:rPr>
        <w:tab/>
        <w:t>Cathédrale d’Amiens, 1260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55.</w:t>
      </w:r>
      <w:r w:rsidRPr="0029710B">
        <w:rPr>
          <w:rFonts w:ascii="Times New Roman" w:hAnsi="Times New Roman" w:cs="Times New Roman"/>
          <w:sz w:val="24"/>
        </w:rPr>
        <w:tab/>
        <w:t>Tenture de l’Apocalypse, château d’Angers, 1377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</w:p>
    <w:p w:rsidR="00020CEA" w:rsidRPr="0029710B" w:rsidRDefault="00020CEA" w:rsidP="002971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710B">
        <w:rPr>
          <w:rFonts w:ascii="Times New Roman" w:hAnsi="Times New Roman" w:cs="Times New Roman"/>
          <w:b/>
          <w:sz w:val="24"/>
        </w:rPr>
        <w:t>Préhistoire :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22. Venus de Lespugue (Musée de l’Homme, Paris)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80. Tumulus de Hochdorf (Allemagne)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81. Reconstitution de la sépulture princière de Hochdorf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</w:p>
    <w:p w:rsidR="00020CEA" w:rsidRPr="0029710B" w:rsidRDefault="00020CEA" w:rsidP="002971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710B">
        <w:rPr>
          <w:rFonts w:ascii="Times New Roman" w:hAnsi="Times New Roman" w:cs="Times New Roman"/>
          <w:b/>
          <w:sz w:val="24"/>
        </w:rPr>
        <w:t>Renaissance :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6.</w:t>
      </w:r>
      <w:r w:rsidRPr="0029710B">
        <w:rPr>
          <w:rFonts w:ascii="Times New Roman" w:hAnsi="Times New Roman" w:cs="Times New Roman"/>
          <w:sz w:val="24"/>
        </w:rPr>
        <w:tab/>
        <w:t>Donatello, Marie-Madeleine, Museo dell'Opera del  Duomo, Florence, 1457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17.</w:t>
      </w:r>
      <w:r w:rsidRPr="0029710B">
        <w:rPr>
          <w:rFonts w:ascii="Times New Roman" w:hAnsi="Times New Roman" w:cs="Times New Roman"/>
          <w:sz w:val="24"/>
        </w:rPr>
        <w:tab/>
        <w:t>Léonard de Vinci, La Joconde, Musée du Louvre, 1503-06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27.</w:t>
      </w:r>
      <w:r w:rsidRPr="0029710B">
        <w:rPr>
          <w:rFonts w:ascii="Times New Roman" w:hAnsi="Times New Roman" w:cs="Times New Roman"/>
          <w:sz w:val="24"/>
        </w:rPr>
        <w:tab/>
        <w:t>Véronèse, Les Noces de Cana, Musée du Louvre, 1562-63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31.</w:t>
      </w:r>
      <w:r w:rsidRPr="0029710B">
        <w:rPr>
          <w:rFonts w:ascii="Times New Roman" w:hAnsi="Times New Roman" w:cs="Times New Roman"/>
          <w:sz w:val="24"/>
        </w:rPr>
        <w:tab/>
        <w:t>Pierre Lescot et Jean Goujon, Cour du palais du Louvre, 1549-1556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</w:p>
    <w:p w:rsidR="00020CEA" w:rsidRPr="0029710B" w:rsidRDefault="00020CEA" w:rsidP="002971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710B">
        <w:rPr>
          <w:rFonts w:ascii="Times New Roman" w:hAnsi="Times New Roman" w:cs="Times New Roman"/>
          <w:b/>
          <w:sz w:val="24"/>
        </w:rPr>
        <w:t>Rome Antique :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15.</w:t>
      </w:r>
      <w:r w:rsidRPr="0029710B">
        <w:rPr>
          <w:rFonts w:ascii="Times New Roman" w:hAnsi="Times New Roman" w:cs="Times New Roman"/>
          <w:sz w:val="24"/>
        </w:rPr>
        <w:tab/>
        <w:t>Fresque 1er style Herculanum, maison des Samnites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16.</w:t>
      </w:r>
      <w:r w:rsidRPr="0029710B">
        <w:rPr>
          <w:rFonts w:ascii="Times New Roman" w:hAnsi="Times New Roman" w:cs="Times New Roman"/>
          <w:sz w:val="24"/>
        </w:rPr>
        <w:tab/>
        <w:t>Villa d’Oplontis, 2è style, 45 av JC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17.</w:t>
      </w:r>
      <w:r w:rsidRPr="0029710B">
        <w:rPr>
          <w:rFonts w:ascii="Times New Roman" w:hAnsi="Times New Roman" w:cs="Times New Roman"/>
          <w:sz w:val="24"/>
        </w:rPr>
        <w:tab/>
        <w:t>Villa des mystères, Pompéi, 2è style, 60 av JC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19.</w:t>
      </w:r>
      <w:r w:rsidRPr="0029710B">
        <w:rPr>
          <w:rFonts w:ascii="Times New Roman" w:hAnsi="Times New Roman" w:cs="Times New Roman"/>
          <w:sz w:val="24"/>
        </w:rPr>
        <w:tab/>
        <w:t>Arc de triomphe de Trajan, Bénévent, vers 100 ap JC</w:t>
      </w:r>
    </w:p>
    <w:p w:rsidR="00020CEA" w:rsidRPr="0029710B" w:rsidRDefault="00020CEA" w:rsidP="00020CEA">
      <w:pPr>
        <w:spacing w:after="0"/>
        <w:rPr>
          <w:rFonts w:ascii="Times New Roman" w:hAnsi="Times New Roman" w:cs="Times New Roman"/>
          <w:sz w:val="24"/>
        </w:rPr>
      </w:pPr>
      <w:r w:rsidRPr="0029710B">
        <w:rPr>
          <w:rFonts w:ascii="Times New Roman" w:hAnsi="Times New Roman" w:cs="Times New Roman"/>
          <w:sz w:val="24"/>
        </w:rPr>
        <w:t>1.</w:t>
      </w:r>
      <w:r w:rsidRPr="0029710B">
        <w:rPr>
          <w:rFonts w:ascii="Times New Roman" w:hAnsi="Times New Roman" w:cs="Times New Roman"/>
          <w:sz w:val="24"/>
        </w:rPr>
        <w:tab/>
        <w:t>Buste de Auguste Bevilacque, Glyptotech Munich et Copie provinciale</w:t>
      </w:r>
    </w:p>
    <w:p w:rsidR="00020CEA" w:rsidRDefault="00020CEA" w:rsidP="00020CEA">
      <w:pPr>
        <w:spacing w:after="0"/>
        <w:rPr>
          <w:rFonts w:ascii="Times New Roman" w:hAnsi="Times New Roman" w:cs="Times New Roman"/>
          <w:sz w:val="24"/>
        </w:rPr>
      </w:pPr>
    </w:p>
    <w:p w:rsidR="00251DE5" w:rsidRDefault="00251DE5" w:rsidP="00020CEA">
      <w:pPr>
        <w:spacing w:after="0"/>
        <w:rPr>
          <w:rFonts w:ascii="Times New Roman" w:hAnsi="Times New Roman" w:cs="Times New Roman"/>
          <w:sz w:val="24"/>
        </w:rPr>
      </w:pPr>
    </w:p>
    <w:p w:rsidR="006B42BE" w:rsidRDefault="006B42BE" w:rsidP="00020CEA">
      <w:pPr>
        <w:spacing w:after="0"/>
        <w:rPr>
          <w:rFonts w:ascii="Times New Roman" w:hAnsi="Times New Roman" w:cs="Times New Roman"/>
          <w:sz w:val="24"/>
        </w:rPr>
      </w:pPr>
    </w:p>
    <w:p w:rsidR="006B42BE" w:rsidRDefault="006B42BE" w:rsidP="00020CEA">
      <w:pPr>
        <w:spacing w:after="0"/>
        <w:rPr>
          <w:rFonts w:ascii="Times New Roman" w:hAnsi="Times New Roman" w:cs="Times New Roman"/>
          <w:sz w:val="24"/>
        </w:rPr>
      </w:pPr>
    </w:p>
    <w:p w:rsidR="006B42BE" w:rsidRDefault="006B42BE" w:rsidP="00020CEA">
      <w:pPr>
        <w:spacing w:after="0"/>
        <w:rPr>
          <w:rFonts w:ascii="Times New Roman" w:hAnsi="Times New Roman" w:cs="Times New Roman"/>
          <w:sz w:val="24"/>
        </w:rPr>
      </w:pPr>
    </w:p>
    <w:p w:rsidR="006B42BE" w:rsidRDefault="006B42BE" w:rsidP="00020CEA">
      <w:pPr>
        <w:spacing w:after="0"/>
        <w:rPr>
          <w:rFonts w:ascii="Times New Roman" w:hAnsi="Times New Roman" w:cs="Times New Roman"/>
          <w:sz w:val="24"/>
        </w:rPr>
      </w:pPr>
    </w:p>
    <w:p w:rsidR="006B42BE" w:rsidRDefault="006B42BE" w:rsidP="00020CEA">
      <w:pPr>
        <w:spacing w:after="0"/>
        <w:rPr>
          <w:rFonts w:ascii="Times New Roman" w:hAnsi="Times New Roman" w:cs="Times New Roman"/>
          <w:sz w:val="24"/>
        </w:rPr>
      </w:pPr>
    </w:p>
    <w:p w:rsidR="006B42BE" w:rsidRDefault="006B42BE" w:rsidP="00020CEA">
      <w:pPr>
        <w:spacing w:after="0"/>
        <w:rPr>
          <w:rFonts w:ascii="Times New Roman" w:hAnsi="Times New Roman" w:cs="Times New Roman"/>
          <w:sz w:val="24"/>
        </w:rPr>
      </w:pPr>
    </w:p>
    <w:p w:rsidR="006B42BE" w:rsidRDefault="006B42BE" w:rsidP="00020CEA">
      <w:pPr>
        <w:spacing w:after="0"/>
        <w:rPr>
          <w:rFonts w:ascii="Times New Roman" w:hAnsi="Times New Roman" w:cs="Times New Roman"/>
          <w:sz w:val="24"/>
        </w:rPr>
      </w:pPr>
    </w:p>
    <w:p w:rsidR="006B42BE" w:rsidRDefault="006B42BE" w:rsidP="00020CEA">
      <w:pPr>
        <w:spacing w:after="0"/>
        <w:rPr>
          <w:rFonts w:ascii="Times New Roman" w:hAnsi="Times New Roman" w:cs="Times New Roman"/>
          <w:sz w:val="24"/>
        </w:rPr>
      </w:pPr>
    </w:p>
    <w:p w:rsidR="006B42BE" w:rsidRDefault="006B42BE" w:rsidP="00020CEA">
      <w:pPr>
        <w:spacing w:after="0"/>
        <w:rPr>
          <w:rFonts w:ascii="Times New Roman" w:hAnsi="Times New Roman" w:cs="Times New Roman"/>
          <w:sz w:val="24"/>
        </w:rPr>
      </w:pPr>
    </w:p>
    <w:p w:rsidR="006B42BE" w:rsidRDefault="006B42BE" w:rsidP="006B42BE">
      <w:pPr>
        <w:jc w:val="center"/>
      </w:pPr>
      <w:r>
        <w:t>LISTE DES CLICHES MOYEN-AGE ET PERIODES MODERNES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Le Caravage. La mort de la vierge. 1606. Musée du 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Le Caravage. La conversion de Saint Paul. 1600. Odescalchi Balbi Collection, Rome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Michel-Ange puis Vignole. Intérieur de L’église de Gesu. 1568. Rome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Giacomo della Porta. Façade de l’Eglise de Gesu.1584. Rome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Le Bernin. Baldaquin de St Pierre de Rome. (Vatican). 1629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Le Bernin. Extase de Ste Thérèse. Eglise ste Marie des victoires. 1647-52. Rome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Le Bernin. Buste de Louis XIV. 1665. Château de Versailles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Pierre de Cortone. « glorification du nom d’Urbain 8 » 1633. Rome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Jacques Lemercier. La Sorbonne. Paris. 1635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François Mansart. Aile de Gaston d’Orléans. Blois. 1635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Louis Le Vau. Château de Vaux le Vicomte. 1657-61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André Le Nôtre. Jardins de Versailles. 1678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Jules Hardouin-Mansart. Château de Versailles, d’après un dessin de Pierre Patel (le château 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de Versailles en 1668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Pierre Puget. Milon de Crotone. 1683. Musée du 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François Girardon.</w:t>
      </w:r>
      <w:r>
        <w:rPr>
          <w:b/>
        </w:rPr>
        <w:t xml:space="preserve"> </w:t>
      </w:r>
      <w:r>
        <w:t>Apollon servi par les nymphes (1668). Versailles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Antoine Coysevox. Portrait du Grand Condé, buste, bronze, musée Condé, Chantilly. 1688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Georges de la Tour. Saint Joseph charpentier, 1645,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Georges de la Tour. le tricheur à l’as de carreau, M.Louvre, 1635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Les frères Le Nain. Repas de paysans, 1642,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Philippe de Champaigne, Richelieu, 1637, 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Nicolas Poussin, orphée et eurydice, 1664,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Charles Le Brun, . Chancelier Seguier 1670,M.Louvre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Charles Le Brun,  le triomphe d’Alexandre, 1665, 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Pierre-Paul Rubens, Henri IV reçoit le portrait de Marie de Medicis, 1622-27, M.Louvre 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Rubens. le chapeau de paille</w:t>
      </w:r>
      <w:r>
        <w:rPr>
          <w:b/>
        </w:rPr>
        <w:t>,</w:t>
      </w:r>
      <w:r>
        <w:t xml:space="preserve"> 1626 ; National Gallery, Londres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Franz Hals, les régents  1664, Musée Franz Hals, Haarlem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Franz Hals, Le joyeux buveur, 1628, </w:t>
      </w:r>
      <w:r>
        <w:rPr>
          <w:rFonts w:cs="Arial"/>
          <w:color w:val="000000"/>
        </w:rPr>
        <w:t>Rijksmuseum, Amsterdam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Rembrandt, la ronde de nuit, 1642,  </w:t>
      </w:r>
      <w:r>
        <w:rPr>
          <w:rFonts w:cs="Arial"/>
          <w:color w:val="000000"/>
        </w:rPr>
        <w:t>Rijksmuseum, Amsterdam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Rembrandt, boeuf écorché 1655,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Rembrandt, le philosophe en méditation</w:t>
      </w:r>
      <w:r>
        <w:rPr>
          <w:b/>
        </w:rPr>
        <w:t>,</w:t>
      </w:r>
      <w:r>
        <w:t xml:space="preserve"> 1632.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Johannes Vermeer, Vue de Delft, 1661, La Haye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,</w:t>
      </w:r>
      <w:r>
        <w:rPr>
          <w:b/>
        </w:rPr>
        <w:t xml:space="preserve"> la laitière</w:t>
      </w:r>
      <w:r>
        <w:t>, 1661</w:t>
      </w:r>
      <w:r>
        <w:rPr>
          <w:rFonts w:cs="Arial"/>
          <w:color w:val="000000"/>
        </w:rPr>
        <w:t xml:space="preserve"> Rijksmuseum, Amsterdam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 Johannes Vermeer; </w:t>
      </w:r>
      <w:r>
        <w:rPr>
          <w:b/>
        </w:rPr>
        <w:t>la jeune fille à la perle</w:t>
      </w:r>
      <w:r>
        <w:t>, 1660, La Haye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Ribera, Le pied bot, 1642,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Velasquez, Les Menines, 1657, M.Prado,Madrid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Jules Hardouin-Mansart puis Robert de Cotte. </w:t>
      </w:r>
      <w:r>
        <w:rPr>
          <w:sz w:val="24"/>
          <w:szCs w:val="24"/>
        </w:rPr>
        <w:t>Chapelle de Versailles</w:t>
      </w:r>
      <w:r>
        <w:t>,  1710.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Robert de Cotte  </w:t>
      </w:r>
      <w:r>
        <w:rPr>
          <w:b/>
          <w:sz w:val="24"/>
          <w:szCs w:val="24"/>
        </w:rPr>
        <w:t>Le salon d’Hercule</w:t>
      </w:r>
      <w:r>
        <w:t xml:space="preserve">  de Versailles 1723  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Filippo Juvara </w:t>
      </w:r>
      <w:r>
        <w:rPr>
          <w:b/>
          <w:sz w:val="24"/>
          <w:szCs w:val="24"/>
        </w:rPr>
        <w:t>Basilique de la Superga</w:t>
      </w:r>
      <w:r>
        <w:t xml:space="preserve">  Turin (1717-31).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Teodoro Ardemans </w:t>
      </w:r>
      <w:r>
        <w:rPr>
          <w:b/>
          <w:sz w:val="24"/>
          <w:szCs w:val="24"/>
        </w:rPr>
        <w:t>palais de la Granja</w:t>
      </w:r>
      <w:r>
        <w:t xml:space="preserve">  san Ildefenso, 1721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Jean-Baptiste Fischer Von Erlach </w:t>
      </w:r>
      <w:r>
        <w:rPr>
          <w:b/>
          <w:sz w:val="24"/>
          <w:szCs w:val="24"/>
        </w:rPr>
        <w:t>palais de Schonbrunn</w:t>
      </w:r>
      <w:r>
        <w:t xml:space="preserve"> à Vienne, 1696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Nicolas Salvi</w:t>
      </w:r>
      <w:r>
        <w:rPr>
          <w:b/>
          <w:sz w:val="24"/>
          <w:szCs w:val="24"/>
        </w:rPr>
        <w:t xml:space="preserve"> Fontaine de Trévi</w:t>
      </w:r>
      <w:r>
        <w:t xml:space="preserve">  Rome 1732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lastRenderedPageBreak/>
        <w:t>Charles-Antoine Coypel :</w:t>
      </w:r>
      <w:r>
        <w:rPr>
          <w:b/>
          <w:sz w:val="24"/>
          <w:szCs w:val="24"/>
        </w:rPr>
        <w:t xml:space="preserve"> Suzanne accusée par les vieillards</w:t>
      </w:r>
      <w:r>
        <w:t> musée antoine lecuyer, St Quentin, mil 18è</w:t>
      </w:r>
    </w:p>
    <w:p w:rsidR="006B42BE" w:rsidRDefault="006B42BE" w:rsidP="006B42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t xml:space="preserve">Hyacinthe Rigaud </w:t>
      </w:r>
      <w:r>
        <w:rPr>
          <w:b/>
          <w:sz w:val="24"/>
          <w:szCs w:val="24"/>
        </w:rPr>
        <w:t xml:space="preserve">Louis XIV, </w:t>
      </w:r>
      <w:r>
        <w:rPr>
          <w:sz w:val="24"/>
          <w:szCs w:val="24"/>
        </w:rPr>
        <w:t>1701, Louvre</w:t>
      </w:r>
      <w:r>
        <w:rPr>
          <w:b/>
          <w:sz w:val="24"/>
          <w:szCs w:val="24"/>
        </w:rPr>
        <w:t xml:space="preserve">. 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Antoine Watteau </w:t>
      </w:r>
      <w:r>
        <w:rPr>
          <w:b/>
          <w:sz w:val="24"/>
          <w:szCs w:val="24"/>
        </w:rPr>
        <w:t xml:space="preserve">embarquement pour cythère, </w:t>
      </w:r>
      <w:r>
        <w:rPr>
          <w:sz w:val="24"/>
          <w:szCs w:val="24"/>
        </w:rPr>
        <w:t>1717,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Gravure de Claude Dufflos d’après un tableau de François Boucher</w:t>
      </w:r>
      <w:r>
        <w:rPr>
          <w:b/>
          <w:sz w:val="24"/>
          <w:szCs w:val="24"/>
        </w:rPr>
        <w:t>, leda et rocaille</w:t>
      </w:r>
      <w:r>
        <w:t xml:space="preserve"> de 1736.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Christophe Huet, </w:t>
      </w:r>
      <w:r>
        <w:rPr>
          <w:b/>
        </w:rPr>
        <w:t>grande singerie de Chantilly</w:t>
      </w:r>
      <w:r>
        <w:t>, 1735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Ziemermann,  </w:t>
      </w:r>
      <w:r>
        <w:rPr>
          <w:b/>
          <w:sz w:val="24"/>
          <w:szCs w:val="24"/>
        </w:rPr>
        <w:t>église de Wies</w:t>
      </w:r>
      <w:r>
        <w:t xml:space="preserve">, Bavière, 1744 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Juvara</w:t>
      </w:r>
      <w:r>
        <w:rPr>
          <w:b/>
          <w:sz w:val="24"/>
          <w:szCs w:val="24"/>
        </w:rPr>
        <w:t xml:space="preserve"> le palais de Stupinigi</w:t>
      </w:r>
      <w:r>
        <w:t xml:space="preserve"> 1729-31, Turin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Jacomo Serpotta, représentation </w:t>
      </w:r>
      <w:r>
        <w:rPr>
          <w:b/>
          <w:sz w:val="24"/>
          <w:szCs w:val="24"/>
        </w:rPr>
        <w:t>de la force</w:t>
      </w:r>
      <w:r>
        <w:t>. 1717 St Dominico de Palerme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Sammartino </w:t>
      </w:r>
      <w:r>
        <w:rPr>
          <w:b/>
          <w:sz w:val="24"/>
          <w:szCs w:val="24"/>
        </w:rPr>
        <w:t>le christ au suaire</w:t>
      </w:r>
      <w:r>
        <w:t xml:space="preserve"> Eglise de Sansevero, Naples, 1753.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Feuchtmayer, </w:t>
      </w:r>
      <w:r>
        <w:rPr>
          <w:b/>
          <w:sz w:val="24"/>
          <w:szCs w:val="24"/>
        </w:rPr>
        <w:t>l’ange tâte-miel</w:t>
      </w:r>
      <w:r>
        <w:t xml:space="preserve"> Eglise de Birnau  1746, Allemagne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Asam </w:t>
      </w:r>
      <w:r>
        <w:rPr>
          <w:b/>
          <w:sz w:val="24"/>
          <w:szCs w:val="24"/>
        </w:rPr>
        <w:t>l’assomption de la vierge</w:t>
      </w:r>
      <w:r>
        <w:t xml:space="preserve"> l’église de Rohr 1717 Bavière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Falconnet, </w:t>
      </w:r>
      <w:r>
        <w:rPr>
          <w:b/>
          <w:sz w:val="24"/>
          <w:szCs w:val="24"/>
        </w:rPr>
        <w:t xml:space="preserve">l’amour menaçant </w:t>
      </w:r>
      <w:r>
        <w:t>1760,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François Boucher </w:t>
      </w:r>
      <w:r>
        <w:rPr>
          <w:b/>
          <w:sz w:val="24"/>
          <w:szCs w:val="24"/>
        </w:rPr>
        <w:t>Hercule et Omphale</w:t>
      </w:r>
      <w:r>
        <w:t>, musée Pouchkine, Moscou, 1735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François Boucher, </w:t>
      </w:r>
      <w:r>
        <w:rPr>
          <w:b/>
          <w:sz w:val="24"/>
          <w:szCs w:val="24"/>
        </w:rPr>
        <w:t>l’odalisque brune</w:t>
      </w:r>
      <w:r>
        <w:t xml:space="preserve">, 1745, M.Louvre. 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Jean-Baptiste Oudry, </w:t>
      </w:r>
      <w:r>
        <w:rPr>
          <w:b/>
          <w:sz w:val="24"/>
          <w:szCs w:val="24"/>
        </w:rPr>
        <w:t>une ferme</w:t>
      </w:r>
      <w:r>
        <w:t> de 1750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Jean-Baptiste Siméon Chardin </w:t>
      </w:r>
      <w:r>
        <w:rPr>
          <w:b/>
          <w:sz w:val="24"/>
          <w:szCs w:val="24"/>
        </w:rPr>
        <w:t>la raie</w:t>
      </w:r>
      <w:r>
        <w:t>  1728,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Jean-Baptiste Siméon Chardin, </w:t>
      </w:r>
      <w:r>
        <w:rPr>
          <w:b/>
          <w:sz w:val="24"/>
          <w:szCs w:val="24"/>
        </w:rPr>
        <w:t>le château de cartes</w:t>
      </w:r>
      <w:r>
        <w:t xml:space="preserve"> 1741, National Gallery Londres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Van Vitelli et Pier Marini </w:t>
      </w:r>
      <w:r>
        <w:rPr>
          <w:b/>
          <w:sz w:val="24"/>
          <w:szCs w:val="24"/>
        </w:rPr>
        <w:t>théâtre de la Scala de Milan</w:t>
      </w:r>
      <w:r>
        <w:t xml:space="preserve"> 1777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Ange-Jacques Gabriel </w:t>
      </w:r>
      <w:r>
        <w:rPr>
          <w:b/>
          <w:sz w:val="24"/>
          <w:szCs w:val="24"/>
        </w:rPr>
        <w:t>projet de la place Louis XV</w:t>
      </w:r>
      <w:r>
        <w:t xml:space="preserve"> Paris 1763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Jacques-Germain Soufflot : </w:t>
      </w:r>
      <w:r>
        <w:rPr>
          <w:b/>
          <w:sz w:val="24"/>
          <w:szCs w:val="24"/>
        </w:rPr>
        <w:t>église ste genevieve</w:t>
      </w:r>
      <w:r>
        <w:t xml:space="preserve"> de 1764 puis Panthéon à partir de 1791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Bélanger </w:t>
      </w:r>
      <w:r>
        <w:rPr>
          <w:b/>
          <w:sz w:val="24"/>
          <w:szCs w:val="24"/>
        </w:rPr>
        <w:t>la salle de bain de Mlle Dervieux</w:t>
      </w:r>
      <w:r>
        <w:t xml:space="preserve">  1777, reconstitution Art Institut Chicago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Edme Bouchardon, </w:t>
      </w:r>
      <w:r>
        <w:rPr>
          <w:b/>
          <w:sz w:val="24"/>
          <w:szCs w:val="24"/>
        </w:rPr>
        <w:t xml:space="preserve">la fontaine des quatre saisons </w:t>
      </w:r>
      <w:r>
        <w:t>rue de grenelle à Paris de 1739 à 1745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Jean-Antoine Houdon </w:t>
      </w:r>
      <w:r>
        <w:rPr>
          <w:b/>
          <w:sz w:val="24"/>
          <w:szCs w:val="24"/>
        </w:rPr>
        <w:t xml:space="preserve">Louise Brongniart </w:t>
      </w:r>
      <w:r>
        <w:t>1777,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Antonio Canova </w:t>
      </w:r>
      <w:r>
        <w:rPr>
          <w:b/>
          <w:sz w:val="24"/>
          <w:szCs w:val="24"/>
        </w:rPr>
        <w:t xml:space="preserve">Psyché ranimé par le baiser de l’Amour </w:t>
      </w:r>
      <w:r>
        <w:rPr>
          <w:sz w:val="24"/>
          <w:szCs w:val="24"/>
        </w:rPr>
        <w:t xml:space="preserve">M.Louvre, </w:t>
      </w:r>
      <w:r>
        <w:t>1793</w:t>
      </w:r>
    </w:p>
    <w:p w:rsidR="006B42BE" w:rsidRDefault="006B42BE" w:rsidP="006B42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Bertel Thorvaldsen</w:t>
      </w:r>
      <w:r>
        <w:rPr>
          <w:b/>
          <w:sz w:val="24"/>
          <w:szCs w:val="24"/>
          <w:lang w:val="en-US"/>
        </w:rPr>
        <w:t xml:space="preserve"> Jason </w:t>
      </w:r>
      <w:r>
        <w:rPr>
          <w:lang w:val="en-US"/>
        </w:rPr>
        <w:t>1803–1828, Musée Thorvaldsen de Copenhague 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Jean-Honoré Fragonard. </w:t>
      </w:r>
      <w:r>
        <w:rPr>
          <w:b/>
          <w:sz w:val="24"/>
          <w:szCs w:val="24"/>
        </w:rPr>
        <w:t>Le verrou</w:t>
      </w:r>
      <w:r>
        <w:t xml:space="preserve"> 1778,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Joseph-Marie Vien : </w:t>
      </w:r>
      <w:r>
        <w:rPr>
          <w:b/>
          <w:sz w:val="24"/>
          <w:szCs w:val="24"/>
        </w:rPr>
        <w:t>la marchande d’amour</w:t>
      </w:r>
      <w:r>
        <w:t>, 1763,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Jean-Baptiste Greuze, </w:t>
      </w:r>
      <w:r>
        <w:rPr>
          <w:b/>
          <w:sz w:val="24"/>
          <w:szCs w:val="24"/>
        </w:rPr>
        <w:t>la malediction paternelle</w:t>
      </w:r>
      <w:r>
        <w:t xml:space="preserve"> 1778,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Jean-Baptiste Greuze  </w:t>
      </w:r>
      <w:r>
        <w:rPr>
          <w:b/>
          <w:sz w:val="24"/>
          <w:szCs w:val="24"/>
        </w:rPr>
        <w:t>la cruche cassée</w:t>
      </w:r>
      <w:r>
        <w:t xml:space="preserve"> , 1772,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Jacques-Louis David </w:t>
      </w:r>
      <w:r>
        <w:rPr>
          <w:b/>
          <w:sz w:val="24"/>
          <w:szCs w:val="24"/>
        </w:rPr>
        <w:t>le serment des horaces,</w:t>
      </w:r>
      <w:r>
        <w:t xml:space="preserve"> 1785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Antoine Gros , </w:t>
      </w:r>
      <w:r>
        <w:rPr>
          <w:b/>
        </w:rPr>
        <w:t>les pestiférés de Jaffa</w:t>
      </w:r>
      <w:r>
        <w:t> (1804)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Théodore Géricault , </w:t>
      </w:r>
      <w:r>
        <w:rPr>
          <w:b/>
        </w:rPr>
        <w:t>l’officier de chasseurs à cheval de la garde impériale chargeant</w:t>
      </w:r>
      <w:r>
        <w:t>, 1812,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Théodore Géricault , </w:t>
      </w:r>
      <w:r>
        <w:rPr>
          <w:b/>
        </w:rPr>
        <w:t>le radeau de la méduse,</w:t>
      </w:r>
      <w:r>
        <w:t xml:space="preserve"> 1819,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Eugène Delacroix, </w:t>
      </w:r>
      <w:r>
        <w:rPr>
          <w:b/>
        </w:rPr>
        <w:t>la barque de Dante</w:t>
      </w:r>
      <w:r>
        <w:t>,1822,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Eugène Delacroix </w:t>
      </w:r>
      <w:r>
        <w:rPr>
          <w:b/>
        </w:rPr>
        <w:t>la mort de Sardanapale</w:t>
      </w:r>
      <w:r>
        <w:t xml:space="preserve"> 1827-28, M.Louvre 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Eugène Delacroix</w:t>
      </w:r>
      <w:r>
        <w:rPr>
          <w:b/>
        </w:rPr>
        <w:t xml:space="preserve"> , la liberté guidant le peuple </w:t>
      </w:r>
      <w:r>
        <w:t>1830, M.Louvre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David d’Angers, </w:t>
      </w:r>
      <w:r>
        <w:rPr>
          <w:b/>
        </w:rPr>
        <w:t>le pardon de Bonchamps</w:t>
      </w:r>
      <w:r>
        <w:t>, St Florent le Vieil, 1825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Gustave Courbet</w:t>
      </w:r>
      <w:r>
        <w:rPr>
          <w:b/>
        </w:rPr>
        <w:t xml:space="preserve"> Un enterrement à Ornans</w:t>
      </w:r>
      <w:r>
        <w:t xml:space="preserve"> 1849-50, musée Orsay 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Thomas Couture, </w:t>
      </w:r>
      <w:r>
        <w:rPr>
          <w:b/>
        </w:rPr>
        <w:t xml:space="preserve">Les romains de la décadence, </w:t>
      </w:r>
      <w:r>
        <w:t xml:space="preserve"> 1847, Musée d’Orsay 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Edouard Manet, </w:t>
      </w:r>
      <w:r>
        <w:rPr>
          <w:b/>
        </w:rPr>
        <w:t>le Dejeuner sur l’herbe</w:t>
      </w:r>
      <w:r>
        <w:t xml:space="preserve"> , 1863, M.Orsay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rPr>
          <w:b/>
        </w:rPr>
        <w:t>(Titien le concert champêtre)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rPr>
          <w:b/>
        </w:rPr>
        <w:t>(Raphael Le jugement de Paris)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lastRenderedPageBreak/>
        <w:t>Alexandre Cabanel,</w:t>
      </w:r>
      <w:r>
        <w:rPr>
          <w:b/>
        </w:rPr>
        <w:t xml:space="preserve"> la naissance de Vénus</w:t>
      </w:r>
      <w:r>
        <w:t>, 1863, M.Orsay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Jean-François  Millet, </w:t>
      </w:r>
      <w:r>
        <w:rPr>
          <w:b/>
        </w:rPr>
        <w:t>l’angélus,</w:t>
      </w:r>
      <w:r>
        <w:t xml:space="preserve"> 1857, Orsay,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 Jean-François  Millet</w:t>
      </w:r>
      <w:r>
        <w:rPr>
          <w:b/>
        </w:rPr>
        <w:t xml:space="preserve"> les glaneuses</w:t>
      </w:r>
      <w:r>
        <w:t>, 1857, Orsay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Honoré Daumier, </w:t>
      </w:r>
      <w:r>
        <w:rPr>
          <w:b/>
        </w:rPr>
        <w:t>laveuse au quai d’anjou</w:t>
      </w:r>
      <w:r>
        <w:t>, 1860, N-Y,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Honoré Daumier,  </w:t>
      </w:r>
      <w:r>
        <w:rPr>
          <w:b/>
        </w:rPr>
        <w:t>Louis-Philippe</w:t>
      </w:r>
      <w:r>
        <w:t>, 1834, MAH, St Denis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Manet, </w:t>
      </w:r>
      <w:r>
        <w:rPr>
          <w:b/>
        </w:rPr>
        <w:t>Musique aux Tuileries</w:t>
      </w:r>
      <w:r>
        <w:t>, 1862, National Gallery (Londres)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Renoir, </w:t>
      </w:r>
      <w:r>
        <w:rPr>
          <w:b/>
        </w:rPr>
        <w:t>le moulin de la galette</w:t>
      </w:r>
      <w:r>
        <w:t>, 1878, M.Orsay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Henri de Toulouse-Lautrec , </w:t>
      </w:r>
      <w:r>
        <w:rPr>
          <w:b/>
        </w:rPr>
        <w:t>au moulin rouge</w:t>
      </w:r>
      <w:r>
        <w:t>, Chicago 1892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Edgar Degas </w:t>
      </w:r>
      <w:r>
        <w:rPr>
          <w:b/>
        </w:rPr>
        <w:t>L’étoile</w:t>
      </w:r>
      <w:r>
        <w:t xml:space="preserve"> 1878, M.Orsay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.Joseph Turner, </w:t>
      </w:r>
      <w:r>
        <w:rPr>
          <w:b/>
        </w:rPr>
        <w:t>pluie, vapeur, vitesse</w:t>
      </w:r>
      <w:r>
        <w:t xml:space="preserve">, </w:t>
      </w:r>
      <w:r>
        <w:rPr>
          <w:b/>
        </w:rPr>
        <w:t>le Great Western</w:t>
      </w:r>
      <w:r>
        <w:t>, 1844, National Gallery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N.Diaz de la Pena, </w:t>
      </w:r>
      <w:r>
        <w:rPr>
          <w:b/>
        </w:rPr>
        <w:t>automne, forêt</w:t>
      </w:r>
      <w:r>
        <w:t>, The Minneapolis Institute of Arts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Jean-baptiste camille Corot</w:t>
      </w:r>
      <w:r>
        <w:rPr>
          <w:b/>
        </w:rPr>
        <w:t>, le pont de Narni</w:t>
      </w:r>
      <w:r>
        <w:t xml:space="preserve">, Ottawa, salon de 1827 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Jean-baptiste camille Corot, </w:t>
      </w:r>
      <w:r>
        <w:rPr>
          <w:b/>
        </w:rPr>
        <w:t>le pont de Narni</w:t>
      </w:r>
      <w:r>
        <w:t xml:space="preserve">, M.Louvre 1826 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Claude Monet, la série des meules années 90 Orsay, National Gallery, Chicago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Claude Monet, </w:t>
      </w:r>
      <w:r>
        <w:rPr>
          <w:b/>
        </w:rPr>
        <w:t>impressions soleil levant</w:t>
      </w:r>
      <w:r>
        <w:t xml:space="preserve"> musée Marmottan, Paris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Camille Pissaro </w:t>
      </w:r>
      <w:r>
        <w:rPr>
          <w:b/>
        </w:rPr>
        <w:t>boulevard des italiens, matin, effets de soleil </w:t>
      </w:r>
      <w:r>
        <w:t xml:space="preserve"> 1897 National gallery washington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Rossetti </w:t>
      </w:r>
      <w:r>
        <w:rPr>
          <w:b/>
        </w:rPr>
        <w:t>the bower meadow</w:t>
      </w:r>
      <w:r>
        <w:t xml:space="preserve"> 1872, Manchester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Pierre Puvis de Chavannes, </w:t>
      </w:r>
      <w:r>
        <w:rPr>
          <w:b/>
        </w:rPr>
        <w:t>le bois sacré cher aux arts et aux muses</w:t>
      </w:r>
      <w:r>
        <w:t xml:space="preserve"> , escalier du palais des arts de Lyon (1884)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Gustave Moreau </w:t>
      </w:r>
      <w:r>
        <w:rPr>
          <w:b/>
        </w:rPr>
        <w:t>Œdipe voyageur</w:t>
      </w:r>
      <w:r>
        <w:t>, Metz, 1888.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Gustav Klimt , </w:t>
      </w:r>
      <w:r>
        <w:rPr>
          <w:b/>
        </w:rPr>
        <w:t>le baiser</w:t>
      </w:r>
      <w:r>
        <w:t>, 1907, Vienne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Auguste Rodin, </w:t>
      </w:r>
      <w:r>
        <w:rPr>
          <w:b/>
        </w:rPr>
        <w:t>l’homme qui marche</w:t>
      </w:r>
      <w:r>
        <w:t>, 1877, Musée Rodin, Paris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Auguste Rodin</w:t>
      </w:r>
      <w:r>
        <w:rPr>
          <w:b/>
        </w:rPr>
        <w:t xml:space="preserve"> , Balzac</w:t>
      </w:r>
      <w:r>
        <w:t xml:space="preserve"> 1894, Musée Rodin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Auguste Rodin</w:t>
      </w:r>
      <w:r>
        <w:rPr>
          <w:b/>
        </w:rPr>
        <w:t xml:space="preserve">  Le penseur </w:t>
      </w:r>
      <w:r>
        <w:t>1882, Musée Rodin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Henri Labrouste </w:t>
      </w:r>
      <w:r>
        <w:rPr>
          <w:b/>
        </w:rPr>
        <w:t>intérieur de la BNF</w:t>
      </w:r>
      <w:r>
        <w:t xml:space="preserve"> 1854-75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Pierre-Marie Ogé, </w:t>
      </w:r>
      <w:r>
        <w:rPr>
          <w:b/>
        </w:rPr>
        <w:t>palais de justice</w:t>
      </w:r>
      <w:r>
        <w:t xml:space="preserve"> angers, 1864-75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Charles Garnier, </w:t>
      </w:r>
      <w:r>
        <w:rPr>
          <w:b/>
        </w:rPr>
        <w:t>Opera de paris</w:t>
      </w:r>
      <w:r>
        <w:t>, 1874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Gaughin, </w:t>
      </w:r>
      <w:r>
        <w:rPr>
          <w:b/>
        </w:rPr>
        <w:t>Arearea</w:t>
      </w:r>
      <w:r>
        <w:t>, 1892, Musée d’Orsay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Henry Matisse, </w:t>
      </w:r>
      <w:r>
        <w:rPr>
          <w:b/>
        </w:rPr>
        <w:t>La femme au chapeau</w:t>
      </w:r>
      <w:r>
        <w:t>, 1905, San Francisco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André Derain, </w:t>
      </w:r>
      <w:r>
        <w:rPr>
          <w:b/>
        </w:rPr>
        <w:t>Le pont de charing cross</w:t>
      </w:r>
      <w:r>
        <w:t>, 1906, National gal of art, Washington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Pablo Picasso, </w:t>
      </w:r>
      <w:r>
        <w:rPr>
          <w:b/>
        </w:rPr>
        <w:t>Les demoiselles d’Avignon</w:t>
      </w:r>
      <w:r>
        <w:t>, MOMA, 1907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Georges Braque, </w:t>
      </w:r>
      <w:r>
        <w:rPr>
          <w:b/>
        </w:rPr>
        <w:t>Violon et palette</w:t>
      </w:r>
      <w:r>
        <w:t>, 1909, Guggenheim, NY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Constantin Brancusi, </w:t>
      </w:r>
      <w:r>
        <w:rPr>
          <w:b/>
        </w:rPr>
        <w:t>le baiser</w:t>
      </w:r>
      <w:r>
        <w:t>, 1912, Philadelphie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Umberto Boccionni</w:t>
      </w:r>
      <w:r>
        <w:rPr>
          <w:b/>
        </w:rPr>
        <w:t>, formes uniques de la continuité dans l’espace</w:t>
      </w:r>
      <w:r>
        <w:t>, 1913, MOMA, NY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Ernst Ludwig Kirchner</w:t>
      </w:r>
      <w:r>
        <w:rPr>
          <w:b/>
        </w:rPr>
        <w:t>, Erich Heckel et Otto Muller jouant aux échecs</w:t>
      </w:r>
      <w:r>
        <w:t>, 1913, Berlin, Brücke Museum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Wassily Kandinsky, </w:t>
      </w:r>
      <w:r>
        <w:rPr>
          <w:b/>
        </w:rPr>
        <w:t>improvisation 11</w:t>
      </w:r>
      <w:r>
        <w:t>, 1910, St Petersbourg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Fernand Léger, </w:t>
      </w:r>
      <w:r>
        <w:rPr>
          <w:b/>
        </w:rPr>
        <w:t>contrastes de formes</w:t>
      </w:r>
      <w:r>
        <w:t>, 1913, Philadelphie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Robert Delaunay</w:t>
      </w:r>
      <w:r>
        <w:rPr>
          <w:b/>
        </w:rPr>
        <w:t>, Fenêtre sur la ville</w:t>
      </w:r>
      <w:r>
        <w:t>, 1912, Hambourg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Pietr Mondrain, </w:t>
      </w:r>
      <w:r>
        <w:rPr>
          <w:b/>
        </w:rPr>
        <w:t>composition avec rouge, jaune et bleu</w:t>
      </w:r>
      <w:r>
        <w:t>, 1921, La Haye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Kasimir Malevitch, </w:t>
      </w:r>
      <w:r>
        <w:rPr>
          <w:b/>
        </w:rPr>
        <w:t>carré blanc sur fond blanc</w:t>
      </w:r>
      <w:r>
        <w:t>, 1918, MOMA, NY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Marcel Duchamp, </w:t>
      </w:r>
      <w:r>
        <w:rPr>
          <w:b/>
        </w:rPr>
        <w:t>fontaine</w:t>
      </w:r>
      <w:r>
        <w:t>, 1917, Musée national d’art moderne, Paris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Walter Gropius</w:t>
      </w:r>
      <w:r>
        <w:rPr>
          <w:b/>
        </w:rPr>
        <w:t>, Bâtiment Bauhaus de Dessau</w:t>
      </w:r>
      <w:r>
        <w:t>, 1926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Man Ray, Yves Tanguy, Joan Miro, </w:t>
      </w:r>
      <w:r>
        <w:rPr>
          <w:b/>
        </w:rPr>
        <w:t>cadavre exquis</w:t>
      </w:r>
      <w:r>
        <w:t>, 1925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Salvador Dali, </w:t>
      </w:r>
      <w:r>
        <w:rPr>
          <w:b/>
        </w:rPr>
        <w:t>la persistance de la mémoire</w:t>
      </w:r>
      <w:r>
        <w:t>, 1931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Le Corbusier, </w:t>
      </w:r>
      <w:r>
        <w:rPr>
          <w:b/>
        </w:rPr>
        <w:t>Villa Savoye</w:t>
      </w:r>
      <w:r>
        <w:t>, Poissy, 1931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lastRenderedPageBreak/>
        <w:t xml:space="preserve">Le Corbusier, </w:t>
      </w:r>
      <w:r>
        <w:rPr>
          <w:b/>
        </w:rPr>
        <w:t>la cité radieuse</w:t>
      </w:r>
      <w:r>
        <w:t xml:space="preserve"> de Marseille, 1952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Victor Vasarely, </w:t>
      </w:r>
      <w:r>
        <w:rPr>
          <w:b/>
        </w:rPr>
        <w:t>Feny</w:t>
      </w:r>
      <w:r>
        <w:t>, 1963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François Morellet, </w:t>
      </w:r>
      <w:r>
        <w:rPr>
          <w:b/>
        </w:rPr>
        <w:t>répartition aléatoire de triangles suivant les chiffres pairs et impairs d’un annuaire de téléphone</w:t>
      </w:r>
      <w:r>
        <w:t>, 1958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Jean Dubuffet, </w:t>
      </w:r>
      <w:r>
        <w:rPr>
          <w:b/>
        </w:rPr>
        <w:t>l’Hourloupe</w:t>
      </w:r>
      <w:r>
        <w:t>, 1962, Hakone, Japon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Gaston Chaissac, </w:t>
      </w:r>
      <w:r>
        <w:rPr>
          <w:b/>
        </w:rPr>
        <w:t>personnage aux cheveux verts roses et blancs</w:t>
      </w:r>
      <w:r>
        <w:t>, 1962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Jackson Pollock, </w:t>
      </w:r>
      <w:r>
        <w:rPr>
          <w:b/>
        </w:rPr>
        <w:t>Number 8</w:t>
      </w:r>
      <w:r>
        <w:t>, 1952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Roy Lichtenstein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>Andy Warhol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Donald Judd, </w:t>
      </w:r>
      <w:r>
        <w:rPr>
          <w:b/>
        </w:rPr>
        <w:t>sans titre</w:t>
      </w:r>
      <w:r>
        <w:t>, 1965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Daniel Buren, </w:t>
      </w:r>
      <w:r>
        <w:rPr>
          <w:b/>
        </w:rPr>
        <w:t>Buren corridor</w:t>
      </w:r>
    </w:p>
    <w:p w:rsidR="006B42BE" w:rsidRDefault="006B42BE" w:rsidP="006B42BE">
      <w:pPr>
        <w:pStyle w:val="ListParagraph"/>
        <w:numPr>
          <w:ilvl w:val="0"/>
          <w:numId w:val="2"/>
        </w:numPr>
      </w:pPr>
      <w:r>
        <w:t xml:space="preserve">Claude Viallat, </w:t>
      </w:r>
      <w:r>
        <w:rPr>
          <w:b/>
        </w:rPr>
        <w:t>sans titre</w:t>
      </w:r>
      <w:r>
        <w:t>, 1984</w:t>
      </w:r>
    </w:p>
    <w:p w:rsidR="006B42BE" w:rsidRDefault="006B42BE" w:rsidP="004A0B64">
      <w:pPr>
        <w:pStyle w:val="ListParagraph"/>
        <w:numPr>
          <w:ilvl w:val="0"/>
          <w:numId w:val="2"/>
        </w:numPr>
      </w:pPr>
      <w:r>
        <w:t>Jean-Pierre Pincemin, sans titre, 1995, Musées des Beaux-Arts Angers</w:t>
      </w:r>
      <w:bookmarkStart w:id="0" w:name="_GoBack"/>
      <w:bookmarkEnd w:id="0"/>
    </w:p>
    <w:sectPr w:rsidR="006B42BE" w:rsidSect="00251D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5E89"/>
    <w:multiLevelType w:val="hybridMultilevel"/>
    <w:tmpl w:val="036A4B66"/>
    <w:lvl w:ilvl="0" w:tplc="040C000F">
      <w:start w:val="1"/>
      <w:numFmt w:val="decimal"/>
      <w:lvlText w:val="%1."/>
      <w:lvlJc w:val="left"/>
      <w:pPr>
        <w:ind w:left="761" w:hanging="360"/>
      </w:pPr>
    </w:lvl>
    <w:lvl w:ilvl="1" w:tplc="040C0019">
      <w:start w:val="1"/>
      <w:numFmt w:val="lowerLetter"/>
      <w:lvlText w:val="%2."/>
      <w:lvlJc w:val="left"/>
      <w:pPr>
        <w:ind w:left="1481" w:hanging="360"/>
      </w:pPr>
    </w:lvl>
    <w:lvl w:ilvl="2" w:tplc="040C001B">
      <w:start w:val="1"/>
      <w:numFmt w:val="lowerRoman"/>
      <w:lvlText w:val="%3."/>
      <w:lvlJc w:val="right"/>
      <w:pPr>
        <w:ind w:left="2201" w:hanging="180"/>
      </w:pPr>
    </w:lvl>
    <w:lvl w:ilvl="3" w:tplc="040C000F">
      <w:start w:val="1"/>
      <w:numFmt w:val="decimal"/>
      <w:lvlText w:val="%4."/>
      <w:lvlJc w:val="left"/>
      <w:pPr>
        <w:ind w:left="2921" w:hanging="360"/>
      </w:pPr>
    </w:lvl>
    <w:lvl w:ilvl="4" w:tplc="040C0019">
      <w:start w:val="1"/>
      <w:numFmt w:val="lowerLetter"/>
      <w:lvlText w:val="%5."/>
      <w:lvlJc w:val="left"/>
      <w:pPr>
        <w:ind w:left="3641" w:hanging="360"/>
      </w:pPr>
    </w:lvl>
    <w:lvl w:ilvl="5" w:tplc="040C001B">
      <w:start w:val="1"/>
      <w:numFmt w:val="lowerRoman"/>
      <w:lvlText w:val="%6."/>
      <w:lvlJc w:val="right"/>
      <w:pPr>
        <w:ind w:left="4361" w:hanging="180"/>
      </w:pPr>
    </w:lvl>
    <w:lvl w:ilvl="6" w:tplc="040C000F">
      <w:start w:val="1"/>
      <w:numFmt w:val="decimal"/>
      <w:lvlText w:val="%7."/>
      <w:lvlJc w:val="left"/>
      <w:pPr>
        <w:ind w:left="5081" w:hanging="360"/>
      </w:pPr>
    </w:lvl>
    <w:lvl w:ilvl="7" w:tplc="040C0019">
      <w:start w:val="1"/>
      <w:numFmt w:val="lowerLetter"/>
      <w:lvlText w:val="%8."/>
      <w:lvlJc w:val="left"/>
      <w:pPr>
        <w:ind w:left="5801" w:hanging="360"/>
      </w:pPr>
    </w:lvl>
    <w:lvl w:ilvl="8" w:tplc="040C001B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5E215CAD"/>
    <w:multiLevelType w:val="hybridMultilevel"/>
    <w:tmpl w:val="AC4EB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EA"/>
    <w:rsid w:val="00020CEA"/>
    <w:rsid w:val="00251DE5"/>
    <w:rsid w:val="0029710B"/>
    <w:rsid w:val="0033121F"/>
    <w:rsid w:val="004A0B64"/>
    <w:rsid w:val="006B42BE"/>
    <w:rsid w:val="006C597A"/>
    <w:rsid w:val="008A6C61"/>
    <w:rsid w:val="00B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0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0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0C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7607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0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0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0C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7607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1478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dcterms:created xsi:type="dcterms:W3CDTF">2013-04-29T19:06:00Z</dcterms:created>
  <dcterms:modified xsi:type="dcterms:W3CDTF">2014-04-28T10:40:00Z</dcterms:modified>
</cp:coreProperties>
</file>